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3EBC8" w14:textId="77777777" w:rsidR="00113AE4" w:rsidRPr="00612E08" w:rsidRDefault="00A340BB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612E0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</w:t>
      </w:r>
      <w:r w:rsidR="001B23B7" w:rsidRPr="00612E0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oložka vybraných vplyvov</w:t>
      </w:r>
    </w:p>
    <w:p w14:paraId="55094CFE" w14:textId="77777777" w:rsidR="001B23B7" w:rsidRPr="00612E08" w:rsidRDefault="001B23B7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60DB9758" w14:textId="77777777" w:rsidR="001B23B7" w:rsidRPr="00612E08" w:rsidRDefault="001B23B7" w:rsidP="001B23B7">
      <w:pPr>
        <w:spacing w:after="200" w:line="276" w:lineRule="auto"/>
        <w:ind w:left="426"/>
        <w:contextualSpacing/>
        <w:rPr>
          <w:rFonts w:ascii="Calibri" w:eastAsia="Calibri" w:hAnsi="Calibri"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612E08" w:rsidRPr="00612E08" w14:paraId="281A657F" w14:textId="77777777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14:paraId="6349FA76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612E08" w:rsidRPr="00612E08" w14:paraId="0523F63F" w14:textId="77777777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14:paraId="17B490CE" w14:textId="77777777" w:rsidR="001B23B7" w:rsidRPr="00612E08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612E08" w:rsidRPr="00612E08" w14:paraId="5BF0549A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14:paraId="4FAA8655" w14:textId="77777777" w:rsidR="001B23B7" w:rsidRPr="001D5835" w:rsidRDefault="0006693B" w:rsidP="001B3BB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Návrh na účasť Slovenskej republiky ako riadneho člena v medzinárodných ESFRI výskumných infraštruktúrach ECRIN ERIC, CLARIN ERIC, DARIAH ERIC, ELIXIR, BBMRI ERIC a EATRIS ERIC</w:t>
            </w:r>
          </w:p>
        </w:tc>
      </w:tr>
      <w:tr w:rsidR="00612E08" w:rsidRPr="00612E08" w14:paraId="17CE0A2A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2DEA7D1A" w14:textId="77777777" w:rsidR="001B23B7" w:rsidRPr="00612E08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06693B" w:rsidRPr="00612E08" w14:paraId="4F021B83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8BE2E" w14:textId="77777777" w:rsidR="0006693B" w:rsidRPr="005A4478" w:rsidRDefault="0006693B" w:rsidP="000669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A4478">
              <w:rPr>
                <w:rFonts w:ascii="Times New Roman" w:hAnsi="Times New Roman" w:cs="Times New Roman"/>
                <w:color w:val="000000" w:themeColor="text1"/>
              </w:rPr>
              <w:t>Ministerstvo školstva, výskumu</w:t>
            </w:r>
            <w:r>
              <w:rPr>
                <w:rFonts w:ascii="Times New Roman" w:hAnsi="Times New Roman" w:cs="Times New Roman"/>
                <w:color w:val="000000" w:themeColor="text1"/>
              </w:rPr>
              <w:t>, vývoja</w:t>
            </w:r>
            <w:r w:rsidRPr="005A4478">
              <w:rPr>
                <w:rFonts w:ascii="Times New Roman" w:hAnsi="Times New Roman" w:cs="Times New Roman"/>
                <w:color w:val="000000" w:themeColor="text1"/>
              </w:rPr>
              <w:t xml:space="preserve"> a </w:t>
            </w:r>
            <w:r>
              <w:rPr>
                <w:rFonts w:ascii="Times New Roman" w:hAnsi="Times New Roman" w:cs="Times New Roman"/>
                <w:color w:val="000000" w:themeColor="text1"/>
              </w:rPr>
              <w:t>mládeže</w:t>
            </w:r>
            <w:r w:rsidRPr="005A4478">
              <w:rPr>
                <w:rFonts w:ascii="Times New Roman" w:hAnsi="Times New Roman" w:cs="Times New Roman"/>
                <w:color w:val="000000" w:themeColor="text1"/>
              </w:rPr>
              <w:t xml:space="preserve"> S</w:t>
            </w:r>
            <w:r>
              <w:rPr>
                <w:rFonts w:ascii="Times New Roman" w:hAnsi="Times New Roman" w:cs="Times New Roman"/>
                <w:color w:val="000000" w:themeColor="text1"/>
              </w:rPr>
              <w:t>lovenskej republiky</w:t>
            </w:r>
          </w:p>
          <w:p w14:paraId="0B54CB26" w14:textId="77777777" w:rsidR="0006693B" w:rsidRPr="00B043B4" w:rsidRDefault="0006693B" w:rsidP="000669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6693B" w:rsidRPr="00612E08" w14:paraId="632A774E" w14:textId="77777777" w:rsidTr="000800FC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14:paraId="1EE65EF6" w14:textId="77777777" w:rsidR="0006693B" w:rsidRPr="00612E08" w:rsidRDefault="0006693B" w:rsidP="0006693B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06D5CC34" w14:textId="77777777" w:rsidR="0006693B" w:rsidRPr="00612E08" w:rsidRDefault="0006693B" w:rsidP="0006693B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78948" w14:textId="77777777" w:rsidR="0006693B" w:rsidRPr="00612E08" w:rsidRDefault="0006693B" w:rsidP="000669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06693B" w:rsidRPr="00612E08" w14:paraId="1F934F5D" w14:textId="77777777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6F2FD79B" w14:textId="77777777" w:rsidR="0006693B" w:rsidRPr="00612E08" w:rsidRDefault="0006693B" w:rsidP="000669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196F4135" w14:textId="77777777" w:rsidR="0006693B" w:rsidRPr="00612E08" w:rsidRDefault="0006693B" w:rsidP="0006693B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5C25574F" w14:textId="77777777" w:rsidR="0006693B" w:rsidRPr="00612E08" w:rsidRDefault="0006693B" w:rsidP="0006693B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06693B" w:rsidRPr="00612E08" w14:paraId="2344682F" w14:textId="77777777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14:paraId="71585835" w14:textId="77777777" w:rsidR="0006693B" w:rsidRPr="00612E08" w:rsidRDefault="0006693B" w:rsidP="000669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653CD6A6" w14:textId="77777777" w:rsidR="0006693B" w:rsidRPr="00612E08" w:rsidRDefault="0006693B" w:rsidP="0006693B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6A037FA2" w14:textId="77777777" w:rsidR="0006693B" w:rsidRPr="00612E08" w:rsidRDefault="0006693B" w:rsidP="000669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Transpozícia/ implementácia práva EÚ</w:t>
            </w:r>
          </w:p>
        </w:tc>
      </w:tr>
      <w:tr w:rsidR="0006693B" w:rsidRPr="00612E08" w14:paraId="387468CE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14:paraId="125D8FFE" w14:textId="77777777" w:rsidR="0006693B" w:rsidRPr="00612E08" w:rsidRDefault="0006693B" w:rsidP="0006693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 transpozície/implementácie uveďte zoznam transponovaných/implementovaných predpisov:</w:t>
            </w:r>
          </w:p>
          <w:p w14:paraId="2A69D09A" w14:textId="77777777" w:rsidR="0006693B" w:rsidRPr="00612E08" w:rsidRDefault="0006693B" w:rsidP="000669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6693B" w:rsidRPr="00612E08" w14:paraId="6FEBFFC0" w14:textId="77777777" w:rsidTr="000800FC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4E57DE7" w14:textId="77777777" w:rsidR="0006693B" w:rsidRPr="00612E08" w:rsidRDefault="0006693B" w:rsidP="0006693B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E34E" w14:textId="525384B6" w:rsidR="0006693B" w:rsidRPr="001B3BBD" w:rsidRDefault="00FC32EB" w:rsidP="000669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14.05.</w:t>
            </w:r>
            <w:r w:rsidR="001D5835"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2024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- 23.05.2024</w:t>
            </w:r>
          </w:p>
        </w:tc>
      </w:tr>
      <w:tr w:rsidR="0006693B" w:rsidRPr="00612E08" w14:paraId="3C24557F" w14:textId="77777777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4BBF4F7A" w14:textId="77777777" w:rsidR="0006693B" w:rsidRPr="00612E08" w:rsidRDefault="0006693B" w:rsidP="0006693B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predloženia na 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D65D" w14:textId="4D1A9AC3" w:rsidR="0006693B" w:rsidRPr="00612E08" w:rsidRDefault="0012309E" w:rsidP="0006693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jún </w:t>
            </w:r>
            <w:r w:rsidR="001D5835" w:rsidRPr="00B2638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2024</w:t>
            </w:r>
          </w:p>
        </w:tc>
      </w:tr>
      <w:tr w:rsidR="0006693B" w:rsidRPr="00612E08" w14:paraId="374B4A13" w14:textId="77777777" w:rsidTr="00D2313B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58F0CD51" w14:textId="77777777" w:rsidR="0006693B" w:rsidRPr="00612E08" w:rsidRDefault="0006693B" w:rsidP="0006693B">
            <w:pPr>
              <w:spacing w:line="276" w:lineRule="auto"/>
              <w:ind w:left="142"/>
              <w:contextualSpacing/>
              <w:rPr>
                <w:rFonts w:ascii="Calibri" w:eastAsia="Calibri" w:hAnsi="Calibri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začiatku a ukončenia ZP**</w:t>
            </w:r>
            <w:r w:rsidRPr="00612E08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70A6" w14:textId="77777777" w:rsidR="0006693B" w:rsidRPr="00612E08" w:rsidRDefault="0006693B" w:rsidP="0006693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06693B" w:rsidRPr="00612E08" w14:paraId="0A7C1F8B" w14:textId="77777777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5E659677" w14:textId="77777777" w:rsidR="0006693B" w:rsidRPr="00612E08" w:rsidRDefault="0006693B" w:rsidP="0006693B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2BB8" w14:textId="6A6512F6" w:rsidR="0006693B" w:rsidRPr="00612E08" w:rsidRDefault="00DF196A" w:rsidP="0006693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august</w:t>
            </w:r>
            <w:r w:rsidR="001D5835" w:rsidRPr="00B2638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2024</w:t>
            </w:r>
          </w:p>
        </w:tc>
      </w:tr>
      <w:tr w:rsidR="0006693B" w:rsidRPr="00612E08" w14:paraId="6F4E894D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6D2C7F9" w14:textId="77777777" w:rsidR="0006693B" w:rsidRPr="00612E08" w:rsidRDefault="0006693B" w:rsidP="000669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6693B" w:rsidRPr="00612E08" w14:paraId="2A2C326E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32F633C1" w14:textId="77777777" w:rsidR="0006693B" w:rsidRPr="00612E08" w:rsidRDefault="0006693B" w:rsidP="0006693B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06693B" w:rsidRPr="00612E08" w14:paraId="039847E9" w14:textId="77777777" w:rsidTr="000800FC">
        <w:trPr>
          <w:trHeight w:val="718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76C17" w14:textId="0F61DA52" w:rsidR="001D5835" w:rsidRPr="00813C71" w:rsidRDefault="00611D7D" w:rsidP="001D58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bookmarkStart w:id="0" w:name="_Hlk160522608"/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Vláda S</w:t>
            </w:r>
            <w:r w:rsidR="009E4B4B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lovenskej republiky</w:t>
            </w: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dňa</w:t>
            </w:r>
            <w:r w:rsidR="009E4B4B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7. apríla 2021</w:t>
            </w: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prijala uznesenie č. 182/2021, ktorým schválila Cestovnú mapu výskumných infraštruktúr (SK VI </w:t>
            </w:r>
            <w:proofErr w:type="spellStart"/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Roadmap</w:t>
            </w:r>
            <w:proofErr w:type="spellEnd"/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2020 – 2030</w:t>
            </w:r>
            <w:r w:rsidR="0082226D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</w:t>
            </w:r>
            <w:r w:rsidR="00A02D36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ďalej len ,,cestovná mapa“</w:t>
            </w: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), a je kľúčovým dokumentom Slovenskej republiky pre oblasť výskumných infraštruktúr, ktorý nielen monitoruje doterajší vývoj a aktuálny stav významnej výskumnej verejnej a súkromnej infraštruktúry na území Slovenskej republiky, ale aj jej previazanosť na hospodárstvo, domény inteligentnej špecializácie, medzinárodnú spoluprácu v kontexte ESFRI.</w:t>
            </w:r>
          </w:p>
          <w:p w14:paraId="581AAF28" w14:textId="4B773244" w:rsidR="000608A4" w:rsidRPr="00813C71" w:rsidRDefault="00611D7D" w:rsidP="001D58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Cestovná mapa informuje o prostredí výskumných infraštruktúr na národnej a medzinárodnej úrovni, identifikuje etablované medzinárodné</w:t>
            </w:r>
            <w:r w:rsidR="00093DE9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(medzivládne)</w:t>
            </w: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výskumné infraštruktúry, v ktorých je Slovenská republika pozorovateľom alebo členom a indikuje aj pripravované ESFRI projekty, do ktorých je Slovenská republika významným spôsobom zapojená. Zároveň indikuje potenciál ďalšieho rozvoja výskumu a vývoja na Slovensku prostredníctvom zapojenia S</w:t>
            </w:r>
            <w:r w:rsidR="003C7237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lovenskej republiky</w:t>
            </w: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do týchto medzinárodných </w:t>
            </w:r>
            <w:r w:rsidR="00093DE9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(medzivládnych) </w:t>
            </w: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výskumných infraštruktúr. </w:t>
            </w:r>
          </w:p>
          <w:p w14:paraId="12BE74AA" w14:textId="13A540AF" w:rsidR="00611D7D" w:rsidRPr="00813C71" w:rsidRDefault="000608A4" w:rsidP="001D58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Rozhodnutie o zapojení Slovenskej republiky do medzinárodných</w:t>
            </w:r>
            <w:r w:rsidR="00093DE9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(medzivládnych)</w:t>
            </w: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výskumných infraštruktúr inštitucionalizovaných vo forme Európskeho konzorcia pre výskumnú infraštruktúru (ERIC) je v</w:t>
            </w:r>
            <w:r w:rsidR="0082226D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súlade</w:t>
            </w:r>
            <w:r w:rsidR="0082226D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</w:t>
            </w: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82226D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c</w:t>
            </w: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estovnou mapou v kompetencii vlády Slovenskej republiky.</w:t>
            </w:r>
          </w:p>
          <w:p w14:paraId="2F8E5D26" w14:textId="6B888717" w:rsidR="0006693B" w:rsidRPr="00813C71" w:rsidRDefault="0006693B" w:rsidP="001B3BB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Návrh na účasť Slovenskej republiky ako riadneho člena v medzinárodných ESFRI výskumných infraštruktúrach ECRIN ERIC, CLARIN ERIC, DARIAH ERIC, ELIXIR, BBMRI ERIC a EATRIS ERIC </w:t>
            </w:r>
            <w:r w:rsidR="00E112FD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plynule nadväzuje na doterajšie zapojenie a pôsobenie S</w:t>
            </w:r>
            <w:r w:rsidR="003C7237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lovenskej republiky</w:t>
            </w:r>
            <w:r w:rsidR="00E112FD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 uvedených ESFRI infraštruktúrach v pozícii pozorovateľa alebo perspektívneho člena a</w:t>
            </w:r>
            <w:r w:rsidR="00E112FD" w:rsidRPr="00813C71" w:rsidDel="00E112F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2A077E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reflektuje</w:t>
            </w:r>
            <w:r w:rsidR="00611D7D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potreb</w:t>
            </w:r>
            <w:r w:rsidR="002A077E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</w:t>
            </w:r>
            <w:r w:rsidR="00611D7D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ďalšieho</w:t>
            </w: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rozvoja výskumných infraštruktúr na území Slovenskej republiky </w:t>
            </w:r>
            <w:r w:rsidR="00E112FD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a je v súlade s </w:t>
            </w:r>
            <w:r w:rsidR="0082226D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c</w:t>
            </w:r>
            <w:r w:rsidR="00E112FD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estovnou </w:t>
            </w:r>
            <w:bookmarkEnd w:id="0"/>
            <w:r w:rsidR="0097524A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mapou.</w:t>
            </w:r>
          </w:p>
        </w:tc>
      </w:tr>
      <w:tr w:rsidR="0006693B" w:rsidRPr="00612E08" w14:paraId="44458203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040B659A" w14:textId="77777777" w:rsidR="0006693B" w:rsidRPr="00813C71" w:rsidRDefault="0006693B" w:rsidP="0006693B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813C71"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06693B" w:rsidRPr="00612E08" w14:paraId="5210C7AD" w14:textId="77777777" w:rsidTr="000800FC">
        <w:trPr>
          <w:trHeight w:val="741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9885A" w14:textId="42EFA53A" w:rsidR="0006693B" w:rsidRPr="00813C71" w:rsidRDefault="0006693B" w:rsidP="001B3BB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Cieľom materiálu </w:t>
            </w:r>
            <w:r w:rsidR="007D6507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je vyjadrenie súhlasu vlády </w:t>
            </w:r>
            <w:r w:rsidR="0082226D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SR</w:t>
            </w:r>
            <w:r w:rsidR="007D6507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so zapojením Slovenskej republiky ako riadneho člena v</w:t>
            </w:r>
            <w:r w:rsidR="00093DE9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 w:rsidR="007D6507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medzinárodných</w:t>
            </w:r>
            <w:r w:rsidR="00093DE9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(medzivládnych)</w:t>
            </w:r>
            <w:r w:rsidR="007D6507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ESFRI výskumných infraštruktúrach ECRIN ERIC, CLARIN ERIC, DARIAH ERIC, ELIXIR, BBMRI ERIC a EATRIS ERIC a poverenie ministra školstva, výskumu, vývoja a mládeže</w:t>
            </w:r>
            <w:r w:rsidR="0082226D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7D6507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úlohou oficiálne požiadať o prijatie S</w:t>
            </w:r>
            <w:r w:rsidR="003C7237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lovenskej republiky</w:t>
            </w:r>
            <w:r w:rsidR="007D6507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za člena v uvedených medzinárodných ESFRI výskumných infraštruktúrach</w:t>
            </w:r>
            <w:r w:rsidR="00E31327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V nadväznosti na uvedené je cieľom realizovať nevyhnutné opatrenia pre zabezpečenie príslušných prístupových procesov a následné efektívne zapojenie S</w:t>
            </w:r>
            <w:r w:rsidR="003C7237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lovenskej republiky</w:t>
            </w:r>
            <w:r w:rsidR="00E31327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do aktivít a projektov realizovaných v rámci uvedených medzinárodných</w:t>
            </w:r>
            <w:r w:rsidR="00093DE9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(medzivládnych)</w:t>
            </w:r>
            <w:r w:rsidR="00E31327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ESFRI výskumných infraštruktúr.</w:t>
            </w:r>
            <w:r w:rsidR="00E31327" w:rsidRPr="00813C71" w:rsidDel="007D650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06693B" w:rsidRPr="00612E08" w14:paraId="046AC21B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8C90FA9" w14:textId="77777777" w:rsidR="0006693B" w:rsidRPr="00612E08" w:rsidRDefault="0006693B" w:rsidP="0006693B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Dotknuté subjekty</w:t>
            </w:r>
          </w:p>
        </w:tc>
      </w:tr>
      <w:tr w:rsidR="000D2FE2" w:rsidRPr="00612E08" w14:paraId="1B558679" w14:textId="77777777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53504" w14:textId="53E8C19E" w:rsidR="000D2FE2" w:rsidRPr="001B3BBD" w:rsidRDefault="000D2FE2" w:rsidP="000D2FE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Priamo dotknuté subjekty: </w:t>
            </w:r>
            <w:proofErr w:type="spellStart"/>
            <w:r w:rsidR="001016B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MŠVVaM</w:t>
            </w:r>
            <w:proofErr w:type="spellEnd"/>
            <w:r w:rsidR="001016B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SR</w:t>
            </w:r>
            <w:r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</w:t>
            </w:r>
            <w:r w:rsidR="00985D7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Ministerstvo zdravotníctva</w:t>
            </w:r>
            <w:r w:rsidR="001016B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Slovenskej republiky</w:t>
            </w:r>
            <w:r w:rsidR="00985D7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</w:t>
            </w:r>
            <w:r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Ministerstvo zahraničných vecí</w:t>
            </w:r>
            <w:r w:rsidR="001016B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 európskych záležitostí</w:t>
            </w:r>
            <w:r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Slovenskej republiky,</w:t>
            </w:r>
            <w:r w:rsidR="002A077E"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Úrad vlády Slovenskej republiky (VAIA),</w:t>
            </w:r>
            <w:r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Slovenská akadémia vied</w:t>
            </w:r>
            <w:r w:rsidR="007D6507"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(verejné výskumné inštitúcie)</w:t>
            </w:r>
            <w:r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</w:t>
            </w:r>
            <w:r w:rsidR="007D6507"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vysoké školy (</w:t>
            </w:r>
            <w:r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vedecké parky, výskumné centrá</w:t>
            </w:r>
            <w:r w:rsidR="007D6507"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);</w:t>
            </w:r>
          </w:p>
          <w:p w14:paraId="72EF9E8F" w14:textId="77777777" w:rsidR="000D2FE2" w:rsidRDefault="000D2FE2" w:rsidP="000D2FE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 xml:space="preserve">Nepriamo dotknuté subjekty: rozpočtové a príspevkové organizácie </w:t>
            </w:r>
            <w:proofErr w:type="spellStart"/>
            <w:r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MŠVVa</w:t>
            </w:r>
            <w:r w:rsidR="007D6507"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</w:t>
            </w:r>
            <w:proofErr w:type="spellEnd"/>
            <w:r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SR,</w:t>
            </w:r>
            <w:r w:rsidR="007D6507"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ďalšie</w:t>
            </w:r>
            <w:r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ústredné orgány štátnej správy</w:t>
            </w:r>
            <w:r w:rsidR="007D6507" w:rsidRPr="001B3BB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podnikateľský a neziskový sektor.</w:t>
            </w:r>
          </w:p>
          <w:p w14:paraId="6DA2D86C" w14:textId="77777777" w:rsidR="007D6507" w:rsidRPr="00845EFD" w:rsidRDefault="007D6507" w:rsidP="000D2FE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2FE2" w:rsidRPr="00612E08" w14:paraId="1C3F93CB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B147E57" w14:textId="1A1890F3" w:rsidR="000D2FE2" w:rsidRPr="00612E08" w:rsidRDefault="00B670DD" w:rsidP="000D2FE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 xml:space="preserve"> </w:t>
            </w:r>
            <w:r w:rsidR="000D2FE2" w:rsidRPr="00612E08"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0D2FE2" w:rsidRPr="00612E08" w14:paraId="2C7A36FB" w14:textId="77777777" w:rsidTr="009930A4">
        <w:trPr>
          <w:trHeight w:val="924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59176" w14:textId="77691289" w:rsidR="000D2FE2" w:rsidRPr="009930A4" w:rsidRDefault="000D2FE2" w:rsidP="000D2FE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9930A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Nulový variant - </w:t>
            </w:r>
            <w:r w:rsidR="009930A4" w:rsidRPr="009930A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prípade vyjadrenia nesúhlasu </w:t>
            </w:r>
            <w:r w:rsidR="009930A4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vlády </w:t>
            </w:r>
            <w:r w:rsidR="0082226D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SR</w:t>
            </w:r>
            <w:r w:rsidR="009930A4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so zapojením Slovenskej republiky ako riadneho člena v medzinárodných (medzivládnych) ESFRI výskumných infraštruktúrach ECRIN ERIC, CLARIN ERIC, DARIAH ERIC, ELIXIR, BBMRI ERIC a EATRIS ERIC by</w:t>
            </w:r>
            <w:r w:rsidR="00A2528F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sa</w:t>
            </w:r>
            <w:r w:rsidR="009930A4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Slovenská republika</w:t>
            </w:r>
            <w:r w:rsidR="00A2528F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nemohla efektívne zapájať do aktivít a projektov realizovaných v rámci predmetných výskumných</w:t>
            </w:r>
            <w:r w:rsidR="00A2528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infraštruktúr. Slovenská republika by tak</w:t>
            </w:r>
            <w:r w:rsidR="000D500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naďalej pôsobila v predmetných výskumných infraštruktúrach so</w:t>
            </w:r>
            <w:r w:rsidR="009930A4" w:rsidRPr="009930A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status</w:t>
            </w:r>
            <w:r w:rsidR="000D500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om</w:t>
            </w:r>
            <w:r w:rsidR="009930A4" w:rsidRPr="009930A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pozorovateľa</w:t>
            </w:r>
            <w:r w:rsidR="000D500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D7687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prípadne</w:t>
            </w:r>
            <w:r w:rsidR="000D500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9930A4" w:rsidRPr="009930A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by </w:t>
            </w:r>
            <w:r w:rsidR="00D7687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svoje pôsobenie v</w:t>
            </w:r>
            <w:r w:rsidR="009930A4" w:rsidRPr="009930A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predmetných výskumných infraštruktúr</w:t>
            </w:r>
            <w:r w:rsidR="00D7687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ach</w:t>
            </w:r>
            <w:r w:rsidR="009930A4" w:rsidRPr="009930A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D7687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ukončila</w:t>
            </w:r>
            <w:r w:rsidR="009930A4" w:rsidRPr="009930A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  <w:r w:rsidR="00A2528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0D2FE2" w:rsidRPr="00612E08" w14:paraId="69276120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79C103A" w14:textId="77777777" w:rsidR="000D2FE2" w:rsidRPr="00612E08" w:rsidRDefault="000D2FE2" w:rsidP="000D2FE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0D2FE2" w:rsidRPr="00612E08" w14:paraId="1ECF198D" w14:textId="77777777" w:rsidTr="000800FC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6C60396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14:paraId="158447BE" w14:textId="77777777" w:rsidR="000D2FE2" w:rsidRPr="00612E08" w:rsidRDefault="00813C71" w:rsidP="000D2F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2FE2"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0D2FE2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0EC10AFC" w14:textId="77777777" w:rsidR="000D2FE2" w:rsidRPr="00612E08" w:rsidRDefault="00813C71" w:rsidP="000D2F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5E1A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0D2FE2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0D2FE2" w:rsidRPr="00612E08" w14:paraId="394F85D2" w14:textId="77777777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3EBF3" w14:textId="77777777" w:rsidR="000D2FE2" w:rsidRPr="006044AA" w:rsidRDefault="000D2FE2" w:rsidP="000D2FE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</w:tc>
      </w:tr>
      <w:tr w:rsidR="000D2FE2" w:rsidRPr="00612E08" w14:paraId="7C9F0A2D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3ACD9A23" w14:textId="77777777" w:rsidR="000D2FE2" w:rsidRPr="00612E08" w:rsidRDefault="000D2FE2" w:rsidP="000D2FE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 xml:space="preserve">Transpozícia/implementácia práva EÚ </w:t>
            </w:r>
          </w:p>
        </w:tc>
      </w:tr>
      <w:tr w:rsidR="000D2FE2" w:rsidRPr="00612E08" w14:paraId="569F3EC5" w14:textId="77777777" w:rsidTr="000800FC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43"/>
            </w:tblGrid>
            <w:tr w:rsidR="000D2FE2" w:rsidRPr="00612E08" w14:paraId="18109AFE" w14:textId="77777777">
              <w:trPr>
                <w:trHeight w:val="90"/>
              </w:trPr>
              <w:tc>
                <w:tcPr>
                  <w:tcW w:w="8643" w:type="dxa"/>
                </w:tcPr>
                <w:p w14:paraId="7C565BE7" w14:textId="77777777" w:rsidR="000D2FE2" w:rsidRPr="00612E08" w:rsidRDefault="000D2FE2" w:rsidP="000D2FE2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Uveďte, či v predkladanom návrhu právneho predpisu dochádza ku </w:t>
                  </w:r>
                  <w:proofErr w:type="spellStart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podľa tabuľky zhody, resp. či ku </w:t>
                  </w:r>
                  <w:proofErr w:type="spellStart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dochádza pri implementácii práva EÚ. </w:t>
                  </w:r>
                </w:p>
              </w:tc>
            </w:tr>
            <w:tr w:rsidR="000D2FE2" w:rsidRPr="00612E08" w14:paraId="5639D6E9" w14:textId="77777777">
              <w:trPr>
                <w:trHeight w:val="296"/>
              </w:trPr>
              <w:tc>
                <w:tcPr>
                  <w:tcW w:w="8643" w:type="dxa"/>
                </w:tcPr>
                <w:p w14:paraId="5016AF4E" w14:textId="77777777" w:rsidR="000D2FE2" w:rsidRPr="00612E08" w:rsidRDefault="000D2FE2" w:rsidP="000D2FE2">
                  <w:pPr>
                    <w:pStyle w:val="Default"/>
                    <w:rPr>
                      <w:b/>
                      <w:iCs/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1614706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12E08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-15522592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5E1A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☒</w:t>
                      </w:r>
                    </w:sdtContent>
                  </w:sdt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  <w:p w14:paraId="1150238C" w14:textId="77777777" w:rsidR="000D2FE2" w:rsidRPr="00612E08" w:rsidRDefault="000D2FE2" w:rsidP="000D2FE2">
                  <w:pPr>
                    <w:pStyle w:val="Default"/>
                    <w:rPr>
                      <w:i/>
                      <w:iCs/>
                      <w:color w:val="auto"/>
                      <w:sz w:val="20"/>
                      <w:szCs w:val="20"/>
                    </w:rPr>
                  </w:pPr>
                </w:p>
                <w:p w14:paraId="4A706E07" w14:textId="77777777" w:rsidR="000D2FE2" w:rsidRPr="00612E08" w:rsidRDefault="000D2FE2" w:rsidP="000D2FE2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Ak áno, uveďte, ktorých vplyvov podľa bodu 9 sa </w:t>
                  </w:r>
                  <w:proofErr w:type="spellStart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</w:t>
                  </w:r>
                  <w:proofErr w:type="spellEnd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týka: </w:t>
                  </w:r>
                </w:p>
              </w:tc>
            </w:tr>
            <w:tr w:rsidR="000D2FE2" w:rsidRPr="00612E08" w14:paraId="2600BDCD" w14:textId="77777777">
              <w:trPr>
                <w:trHeight w:val="296"/>
              </w:trPr>
              <w:tc>
                <w:tcPr>
                  <w:tcW w:w="8643" w:type="dxa"/>
                </w:tcPr>
                <w:p w14:paraId="03F696B8" w14:textId="77777777" w:rsidR="000D2FE2" w:rsidRPr="00612E08" w:rsidRDefault="000D2FE2" w:rsidP="000D2FE2">
                  <w:pPr>
                    <w:pStyle w:val="Default"/>
                    <w:rPr>
                      <w:rFonts w:ascii="Segoe UI Symbol" w:hAnsi="Segoe UI Symbol" w:cs="Segoe UI Symbo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057E3AB7" w14:textId="77777777" w:rsidR="000D2FE2" w:rsidRPr="00612E08" w:rsidRDefault="000D2FE2" w:rsidP="000D2FE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0D2FE2" w:rsidRPr="00612E08" w14:paraId="1888628B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3637DF90" w14:textId="77777777" w:rsidR="000D2FE2" w:rsidRPr="00612E08" w:rsidRDefault="000D2FE2" w:rsidP="000D2FE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0D2FE2" w:rsidRPr="00612E08" w14:paraId="03F586D2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9300F" w14:textId="03B8F730" w:rsidR="000D2FE2" w:rsidRPr="00D16B6E" w:rsidRDefault="00093DE9" w:rsidP="00D768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044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Metodika hodnotenia</w:t>
            </w:r>
            <w:r w:rsidR="006044AA" w:rsidRPr="006044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návrhov výskumných infraštruktúr, národných platforiem výskumných infraštruktúr a národných výskumných infraštruktúr (vedecké parky výskumné centrá, centrá </w:t>
            </w:r>
            <w:proofErr w:type="spellStart"/>
            <w:r w:rsidR="006044AA" w:rsidRPr="006044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excelentnosti</w:t>
            </w:r>
            <w:proofErr w:type="spellEnd"/>
            <w:r w:rsidR="006044AA" w:rsidRPr="006044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 iné)</w:t>
            </w:r>
            <w:r w:rsidR="00930E4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-</w:t>
            </w:r>
            <w:r w:rsidRPr="006044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6044AA" w:rsidRPr="006044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3Q 2024</w:t>
            </w:r>
            <w:r w:rsidRPr="006044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</w:t>
            </w:r>
            <w:r w:rsidR="006044AA" w:rsidRPr="006044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D16B6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gescii </w:t>
            </w:r>
            <w:proofErr w:type="spellStart"/>
            <w:r w:rsidR="006044AA" w:rsidRPr="006044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MŠVVaM</w:t>
            </w:r>
            <w:proofErr w:type="spellEnd"/>
            <w:r w:rsidR="006044AA" w:rsidRPr="006044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SR</w:t>
            </w:r>
            <w:r w:rsidR="005F7F6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Kritériom pre preskúmanie účelnosti je prijatie materiálu I. Akčný plán implementácie Cestovnej mapy výskumných infraštruktúr (Aktualizované nové znenie) vládou S</w:t>
            </w:r>
            <w:r w:rsidR="003C723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lovenskej republiky</w:t>
            </w:r>
            <w:r w:rsidR="005F7F6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v ktorom sú indikované úlohy zamerané na</w:t>
            </w:r>
            <w:r w:rsidRPr="006044A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hodnotenie výskumných infraštruktúr</w:t>
            </w:r>
            <w:r w:rsidR="005F7F6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</w:tr>
      <w:tr w:rsidR="000D2FE2" w:rsidRPr="00612E08" w14:paraId="2AA58D1E" w14:textId="77777777" w:rsidTr="000800FC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D41D1D2" w14:textId="77777777" w:rsidR="000D2FE2" w:rsidRPr="00612E08" w:rsidRDefault="000D2FE2" w:rsidP="000D2FE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611B5395" w14:textId="77777777" w:rsidR="000D2FE2" w:rsidRPr="00612E08" w:rsidRDefault="000D2FE2" w:rsidP="000D2FE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7062635A" w14:textId="77777777" w:rsidR="000D2FE2" w:rsidRPr="00612E08" w:rsidRDefault="000D2FE2" w:rsidP="000D2FE2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* vyplniť iba v prípade, ak materiál nie je zahrnutý do Plánu práce vlády Slovenskej republiky alebo Plánu        legislatívnych úloh vlády Slovenskej republiky. </w:t>
            </w:r>
          </w:p>
          <w:p w14:paraId="098A66F0" w14:textId="77777777" w:rsidR="000D2FE2" w:rsidRPr="00612E08" w:rsidRDefault="000D2FE2" w:rsidP="000D2FE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 vyplniť iba v prípade, ak sa záverečné posúdenie vybraných vplyvov uskutočnilo v zmysle bodu 9.1. jednotnej metodiky.</w:t>
            </w:r>
          </w:p>
          <w:p w14:paraId="1D9BC6C1" w14:textId="77777777" w:rsidR="000D2FE2" w:rsidRPr="00612E08" w:rsidRDefault="000D2FE2" w:rsidP="000D2FE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*** posudzovanie sa týka len zmien v I. a II. pilieri univerzálneho systému dôchodkového zabezpečenia s identifikovaným dopadom od 0,1 % HDP (vrátane) na dlhodobom horizonte.</w:t>
            </w:r>
          </w:p>
          <w:p w14:paraId="7C248B1D" w14:textId="77777777" w:rsidR="000D2FE2" w:rsidRPr="00612E08" w:rsidRDefault="000D2FE2" w:rsidP="000D2FE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20F9CFCC" w14:textId="77777777" w:rsidR="000D2FE2" w:rsidRPr="00612E08" w:rsidRDefault="000D2FE2" w:rsidP="000D2FE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0D2FE2" w:rsidRPr="00612E08" w14:paraId="690E4EB0" w14:textId="77777777" w:rsidTr="00BA2BF4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14:paraId="2C2380BB" w14:textId="77777777" w:rsidR="000D2FE2" w:rsidRPr="00612E08" w:rsidRDefault="000D2FE2" w:rsidP="000D2FE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Vybrané vplyvy  materiálu</w:t>
            </w:r>
          </w:p>
        </w:tc>
      </w:tr>
      <w:tr w:rsidR="000D2FE2" w:rsidRPr="00612E08" w14:paraId="33FD660B" w14:textId="77777777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4ED9E16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0AD69E44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66825C3C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32195937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118070A5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076E1F5E" w14:textId="77777777" w:rsidR="000D2FE2" w:rsidRPr="00612E08" w:rsidRDefault="00015E1A" w:rsidP="000D2FE2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26B6202F" w14:textId="77777777" w:rsidR="000D2FE2" w:rsidRPr="00612E08" w:rsidRDefault="000D2FE2" w:rsidP="000D2FE2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D2FE2" w:rsidRPr="00612E08" w14:paraId="6F188E27" w14:textId="77777777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1B408BF7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rozpočtovo zabezpečené vplyvy,         </w:t>
            </w:r>
          </w:p>
          <w:p w14:paraId="16463FA6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v prípade identifikovaného negatívneho </w:t>
            </w:r>
          </w:p>
          <w:p w14:paraId="200490A2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6A2D5BB5" w14:textId="0F98D38C" w:rsidR="000D2FE2" w:rsidRPr="00612E08" w:rsidRDefault="00E63C56" w:rsidP="000D2FE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9242C2F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2BBFE376" w14:textId="765BD0FF" w:rsidR="000D2FE2" w:rsidRPr="00612E08" w:rsidRDefault="00E63C56" w:rsidP="000D2FE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B85FE47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5E78F6E2" w14:textId="77777777" w:rsidR="000D2FE2" w:rsidRPr="00612E08" w:rsidRDefault="000D2FE2" w:rsidP="000D2FE2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1A41723" w14:textId="77777777" w:rsidR="000D2FE2" w:rsidRPr="00612E08" w:rsidRDefault="000D2FE2" w:rsidP="000D2FE2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0D2FE2" w:rsidRPr="00612E08" w14:paraId="1030AB1E" w14:textId="77777777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1C12525A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05EDF4A1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CE853B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51D9D983" w14:textId="77777777" w:rsidR="000D2FE2" w:rsidRPr="00612E08" w:rsidRDefault="00015E1A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D7A4F75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4846FF50" w14:textId="77777777" w:rsidR="000D2FE2" w:rsidRPr="00612E08" w:rsidRDefault="000D2FE2" w:rsidP="000D2FE2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66BD88A9" w14:textId="77777777" w:rsidR="000D2FE2" w:rsidRPr="00612E08" w:rsidRDefault="000D2FE2" w:rsidP="000D2FE2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D2FE2" w:rsidRPr="00612E08" w14:paraId="07BC0DCC" w14:textId="77777777" w:rsidTr="00A7788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36214AB5" w14:textId="77777777" w:rsidR="000D2FE2" w:rsidRPr="00612E08" w:rsidRDefault="000D2FE2" w:rsidP="000D2FE2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14:paraId="363BCD0F" w14:textId="77777777" w:rsidR="000D2FE2" w:rsidRPr="00612E08" w:rsidRDefault="000D2FE2" w:rsidP="000D2FE2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2F3680FB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FEF06D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75A7E3B" w14:textId="4B668832" w:rsidR="000D2FE2" w:rsidRPr="00612E08" w:rsidRDefault="00213A42" w:rsidP="000D2FE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A98834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03DB2CE1" w14:textId="77777777" w:rsidR="000D2FE2" w:rsidRPr="00612E08" w:rsidRDefault="000D2FE2" w:rsidP="000D2FE2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55C21" w14:textId="77777777" w:rsidR="000D2FE2" w:rsidRPr="00612E08" w:rsidRDefault="000D2FE2" w:rsidP="000D2FE2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0D2FE2" w:rsidRPr="00612E08" w14:paraId="44411B32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5469FA3D" w14:textId="77777777" w:rsidR="000D2FE2" w:rsidRPr="00612E08" w:rsidRDefault="000D2FE2" w:rsidP="000D2FE2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1996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00B1D9AB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F830FD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7C38C5" w14:textId="77777777" w:rsidR="000D2FE2" w:rsidRPr="00612E08" w:rsidRDefault="000D2FE2" w:rsidP="000D2F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9AC138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21779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4F37184" w14:textId="25B743B1" w:rsidR="000D2FE2" w:rsidRPr="00612E08" w:rsidRDefault="00847998" w:rsidP="000D2FE2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68535" w14:textId="77777777" w:rsidR="000D2FE2" w:rsidRPr="00612E08" w:rsidRDefault="000D2FE2" w:rsidP="000D2FE2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0D2FE2" w:rsidRPr="00612E08" w14:paraId="52AEE9F1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10BD17F2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limit verejných výdavkov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829944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14C5D08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99C5A3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667315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0B3FCDDE" w14:textId="77777777" w:rsidR="000D2FE2" w:rsidRPr="00612E08" w:rsidRDefault="00015E1A" w:rsidP="000D2FE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C97459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889299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08144BD" w14:textId="77777777" w:rsidR="000D2FE2" w:rsidRPr="00612E08" w:rsidRDefault="000D2FE2" w:rsidP="000D2FE2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6C84C" w14:textId="77777777" w:rsidR="000D2FE2" w:rsidRPr="00612E08" w:rsidRDefault="000D2FE2" w:rsidP="000D2FE2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D2FE2" w:rsidRPr="00612E08" w14:paraId="6765D57D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1B51B6B1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28DA6C9C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E855B03" w14:textId="77777777" w:rsidR="000D2FE2" w:rsidRPr="00612E08" w:rsidRDefault="000D2FE2" w:rsidP="000D2FE2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3D0160BA" w14:textId="77777777" w:rsidR="000D2FE2" w:rsidRPr="00612E08" w:rsidRDefault="00015E1A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8E882DA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0AF0E9BF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744044D" w14:textId="77777777" w:rsidR="000D2FE2" w:rsidRPr="00612E08" w:rsidRDefault="000D2FE2" w:rsidP="000D2FE2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D2FE2" w:rsidRPr="00612E08" w14:paraId="05B4B569" w14:textId="77777777" w:rsidTr="00203EE3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14:paraId="48BBFC3E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vplyvy na MSP</w:t>
            </w:r>
          </w:p>
          <w:p w14:paraId="6EC8BC93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</w:tcPr>
              <w:p w14:paraId="25F73C61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8D41B26" w14:textId="77777777" w:rsidR="000D2FE2" w:rsidRPr="00612E08" w:rsidRDefault="000D2FE2" w:rsidP="000D2FE2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1C224657" w14:textId="77777777" w:rsidR="000D2FE2" w:rsidRPr="00612E08" w:rsidRDefault="00015E1A" w:rsidP="000D2FE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9F140A9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674A710E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DE001E0" w14:textId="77777777" w:rsidR="000D2FE2" w:rsidRPr="00612E08" w:rsidRDefault="000D2FE2" w:rsidP="000D2FE2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0D2FE2" w:rsidRPr="00612E08" w14:paraId="53578A71" w14:textId="77777777" w:rsidTr="00203EE3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00A0381E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Mechanizmus znižovania byrokracie    </w:t>
            </w:r>
          </w:p>
          <w:p w14:paraId="1D958881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0CA279C9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26C67C" w14:textId="77777777" w:rsidR="000D2FE2" w:rsidRPr="00612E08" w:rsidRDefault="000D2FE2" w:rsidP="000D2FE2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99568D" w14:textId="77777777" w:rsidR="000D2FE2" w:rsidRPr="00612E08" w:rsidRDefault="000D2FE2" w:rsidP="000D2F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9A5D1A" w14:textId="77777777" w:rsidR="000D2FE2" w:rsidRPr="00612E08" w:rsidRDefault="000D2FE2" w:rsidP="000D2F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7F28E48" w14:textId="77777777" w:rsidR="000D2FE2" w:rsidRPr="00612E08" w:rsidRDefault="007D6507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91FD9" w14:textId="77777777" w:rsidR="000D2FE2" w:rsidRPr="00612E08" w:rsidRDefault="000D2FE2" w:rsidP="000D2FE2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0D2FE2" w:rsidRPr="00612E08" w14:paraId="50DE4C45" w14:textId="77777777" w:rsidTr="00CD6E04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066FD3F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A0E3ED0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CA51A" w14:textId="77777777" w:rsidR="000D2FE2" w:rsidRPr="00612E08" w:rsidRDefault="000D2FE2" w:rsidP="000D2FE2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11A6B3BC" w14:textId="77777777" w:rsidR="000D2FE2" w:rsidRPr="00612E08" w:rsidRDefault="00015E1A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49EC3E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05F8E22A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91E5B" w14:textId="77777777" w:rsidR="000D2FE2" w:rsidRPr="00612E08" w:rsidRDefault="000D2FE2" w:rsidP="000D2FE2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D2FE2" w:rsidRPr="00612E08" w14:paraId="341E3309" w14:textId="77777777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7B20CA48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3FD167B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543CEF" w14:textId="77777777" w:rsidR="000D2FE2" w:rsidRPr="00612E08" w:rsidRDefault="000D2FE2" w:rsidP="000D2FE2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2DB264E8" w14:textId="77777777" w:rsidR="000D2FE2" w:rsidRPr="00612E08" w:rsidRDefault="00015E1A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D5E815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3C353244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D61CDD" w14:textId="77777777" w:rsidR="000D2FE2" w:rsidRPr="00612E08" w:rsidRDefault="000D2FE2" w:rsidP="000D2FE2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D2FE2" w:rsidRPr="00612E08" w14:paraId="2B84EB0F" w14:textId="77777777" w:rsidTr="00CD6E04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0598B791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4EC6DA3D" w14:textId="77777777" w:rsidR="000D2FE2" w:rsidRPr="00612E08" w:rsidRDefault="000D2FE2" w:rsidP="000D2FE2">
            <w:pPr>
              <w:ind w:left="16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je posudzovaný podľa zákona č. 24/2006 Z. z. o posudzovaní vplyvov na životné prostredie a o zmene a doplnení niektorých zákonov v znení neskorších predpisov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22219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3DAF4893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801742" w14:textId="77777777" w:rsidR="000D2FE2" w:rsidRPr="00612E08" w:rsidRDefault="000D2FE2" w:rsidP="000D2FE2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08E903" w14:textId="77777777" w:rsidR="000D2FE2" w:rsidRPr="00612E08" w:rsidRDefault="000D2FE2" w:rsidP="000D2F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DFEE1C" w14:textId="77777777" w:rsidR="000D2FE2" w:rsidRPr="00612E08" w:rsidRDefault="000D2FE2" w:rsidP="000D2F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867767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76BE6FBA" w14:textId="77777777" w:rsidR="000D2FE2" w:rsidRPr="00612E08" w:rsidRDefault="00015E1A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11E52" w14:textId="77777777" w:rsidR="000D2FE2" w:rsidRPr="00612E08" w:rsidRDefault="000D2FE2" w:rsidP="000D2FE2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0D2FE2" w:rsidRPr="00612E08" w14:paraId="18E9467A" w14:textId="77777777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253A6BEE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D4B4CE5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D1D950" w14:textId="77777777" w:rsidR="000D2FE2" w:rsidRPr="00612E08" w:rsidRDefault="000D2FE2" w:rsidP="000D2FE2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798AB005" w14:textId="77777777" w:rsidR="000D2FE2" w:rsidRPr="00612E08" w:rsidRDefault="00015E1A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8FA77A" w14:textId="77777777" w:rsidR="000D2FE2" w:rsidRPr="00612E08" w:rsidRDefault="000D2FE2" w:rsidP="000D2FE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1A18D04F" w14:textId="77777777" w:rsidR="000D2FE2" w:rsidRPr="00612E08" w:rsidRDefault="000D2FE2" w:rsidP="000D2FE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FC2A22" w14:textId="77777777" w:rsidR="000D2FE2" w:rsidRPr="00612E08" w:rsidRDefault="000D2FE2" w:rsidP="000D2FE2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612E08" w:rsidRPr="00612E08" w14:paraId="2C9E461D" w14:textId="77777777" w:rsidTr="000F2BE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8416DEB" w14:textId="77777777" w:rsidR="000F2BE9" w:rsidRPr="00612E08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</w:t>
            </w:r>
            <w:r w:rsidR="00CE6AAE"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22A1AC" w14:textId="77777777" w:rsidR="000F2BE9" w:rsidRPr="00612E08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A0FA07" w14:textId="77777777" w:rsidR="000F2BE9" w:rsidRPr="00612E08" w:rsidRDefault="000F2BE9" w:rsidP="000800F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A4E7BC" w14:textId="77777777" w:rsidR="000F2BE9" w:rsidRPr="00612E08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5B079E" w14:textId="77777777" w:rsidR="000F2BE9" w:rsidRPr="00612E08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3FF698" w14:textId="77777777" w:rsidR="000F2BE9" w:rsidRPr="00612E08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E3CF8E" w14:textId="77777777" w:rsidR="000F2BE9" w:rsidRPr="00612E08" w:rsidRDefault="000F2BE9" w:rsidP="000800FC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74752154" w14:textId="77777777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EF4A3F8" w14:textId="77777777" w:rsidR="000F2BE9" w:rsidRPr="00612E08" w:rsidRDefault="000F2BE9" w:rsidP="000800FC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1A434E58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3213301" w14:textId="77777777" w:rsidR="000F2BE9" w:rsidRPr="00612E08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4BAE6735" w14:textId="77777777" w:rsidR="000F2BE9" w:rsidRPr="00612E08" w:rsidRDefault="00015E1A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CBA3EC8" w14:textId="77777777" w:rsidR="000F2BE9" w:rsidRPr="00612E08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10077964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9C8B930" w14:textId="77777777" w:rsidR="000F2BE9" w:rsidRPr="00612E08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1575F283" w14:textId="77777777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C8C8AE0" w14:textId="77777777" w:rsidR="000F2BE9" w:rsidRPr="00612E08" w:rsidRDefault="000F2BE9" w:rsidP="000800FC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46B89ADA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319711E" w14:textId="77777777" w:rsidR="000F2BE9" w:rsidRPr="00612E08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72155028" w14:textId="77777777" w:rsidR="000F2BE9" w:rsidRPr="00612E08" w:rsidRDefault="00015E1A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6B0FA94" w14:textId="77777777" w:rsidR="000F2BE9" w:rsidRPr="00612E08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3E89D6E8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665A3" w14:textId="77777777" w:rsidR="000F2BE9" w:rsidRPr="00612E08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612E08" w:rsidRPr="00612E08" w14:paraId="5A8B2830" w14:textId="77777777" w:rsidTr="0023360B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8E54C53" w14:textId="77777777" w:rsidR="00A340BB" w:rsidRPr="00612E08" w:rsidRDefault="00A340BB" w:rsidP="00AA592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</w:t>
            </w:r>
            <w:r w:rsidR="00DF357C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rodičovstvo a</w:t>
            </w:r>
            <w:r w:rsidR="00CE6AAE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3FAE09F5" w14:textId="77777777" w:rsidR="00A340BB" w:rsidRPr="00612E08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C0D4DF" w14:textId="77777777" w:rsidR="00A340BB" w:rsidRPr="00612E08" w:rsidRDefault="00A340BB" w:rsidP="0023360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0AB332D3" w14:textId="77777777" w:rsidR="00A340BB" w:rsidRPr="00612E08" w:rsidRDefault="00015E1A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18AE4" w14:textId="77777777" w:rsidR="00A340BB" w:rsidRPr="00612E08" w:rsidRDefault="00A340BB" w:rsidP="002336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12A1630" w14:textId="77777777" w:rsidR="00A340BB" w:rsidRPr="00612E08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1DC3F" w14:textId="77777777" w:rsidR="00A340BB" w:rsidRPr="00612E08" w:rsidRDefault="00A340BB" w:rsidP="0023360B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14:paraId="2791A855" w14:textId="77777777" w:rsidR="001B23B7" w:rsidRPr="00612E08" w:rsidRDefault="001B23B7" w:rsidP="001B23B7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612E08" w:rsidRPr="00612E08" w14:paraId="311FD5E6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19F39820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612E08" w:rsidRPr="00612E08" w14:paraId="7B5B8359" w14:textId="77777777" w:rsidTr="000800FC">
        <w:trPr>
          <w:trHeight w:val="713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D5D9CF7" w14:textId="385D0CBD" w:rsidR="001B23B7" w:rsidRPr="00D7687A" w:rsidRDefault="004A56D9" w:rsidP="00D7687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Predkladaný materiál nemá </w:t>
            </w:r>
            <w:r w:rsidR="00D7687A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priamy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vplyv na podnikateľské prostredie. </w:t>
            </w:r>
            <w:r w:rsidR="00D7687A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Schválením členstva </w:t>
            </w:r>
            <w:r w:rsidR="00621D9B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S</w:t>
            </w:r>
            <w:r w:rsidR="00D7687A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lovenskej republiky v predmetných výskumných infraštruktúrach a</w:t>
            </w:r>
            <w:r w:rsidR="00130E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následnou</w:t>
            </w:r>
            <w:r w:rsidR="00D7687A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 efektívnou implementáciou členstva S</w:t>
            </w:r>
            <w:r w:rsidR="003C7237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lovenskej republiky</w:t>
            </w:r>
            <w:r w:rsidR="00D7687A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je možné indikovať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D7687A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nepriame pozitívne 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vplyvy na podnikateľské prostredie</w:t>
            </w:r>
            <w:r w:rsidR="00C3157F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,</w:t>
            </w:r>
            <w:r w:rsidR="00D7687A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ako aj na neziskový sektor</w:t>
            </w:r>
            <w:r w:rsidR="00130E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, ktoré tak získajú možnosť  zapojiť sa do aktivít výskumných infraštruktúr na národnej a medzinárodnej úrovni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. </w:t>
            </w:r>
          </w:p>
        </w:tc>
      </w:tr>
      <w:tr w:rsidR="00612E08" w:rsidRPr="00612E08" w14:paraId="025E05A9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00CAE273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Kontakt na spracovateľa</w:t>
            </w:r>
          </w:p>
        </w:tc>
      </w:tr>
      <w:tr w:rsidR="00612E08" w:rsidRPr="00612E08" w14:paraId="1BFAD52D" w14:textId="77777777" w:rsidTr="000800FC"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BDA7E" w14:textId="77777777" w:rsidR="001B23B7" w:rsidRDefault="002A077E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E10C4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Mgr. Simona Foltinová</w:t>
            </w:r>
          </w:p>
          <w:p w14:paraId="1DC9FEA9" w14:textId="77777777" w:rsidR="002A077E" w:rsidRDefault="002A077E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A077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Ministerstvo školstva, výskumu, vývoja a mládeže Slovenskej republiky</w:t>
            </w:r>
          </w:p>
          <w:p w14:paraId="693B4D51" w14:textId="77777777" w:rsidR="002A077E" w:rsidRDefault="002A077E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A077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Sekcia výskumu 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 w:rsidRPr="002A077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vývoja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</w:p>
          <w:p w14:paraId="231217E9" w14:textId="77777777" w:rsidR="002A077E" w:rsidRDefault="002A077E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A077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Tel: +421259374718</w:t>
            </w:r>
          </w:p>
          <w:p w14:paraId="082C0650" w14:textId="77777777" w:rsidR="002A077E" w:rsidRPr="00E10C4C" w:rsidRDefault="002A077E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A077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simona.foltinova@minedu.sk</w:t>
            </w:r>
          </w:p>
        </w:tc>
      </w:tr>
      <w:tr w:rsidR="00612E08" w:rsidRPr="00612E08" w14:paraId="66AD74E4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00D0D5F9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612E08" w:rsidRPr="00612E08" w14:paraId="41258470" w14:textId="77777777" w:rsidTr="000800FC"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A3AF4" w14:textId="77777777" w:rsidR="002A077E" w:rsidRDefault="002A077E" w:rsidP="002A077E">
            <w:pPr>
              <w:pStyle w:val="Odsekzoznamu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844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Cestovná mapa výskumných infraštruktúr (SK VI </w:t>
            </w:r>
            <w:proofErr w:type="spellStart"/>
            <w:r w:rsidRPr="007844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Roadmap</w:t>
            </w:r>
            <w:proofErr w:type="spellEnd"/>
            <w:r w:rsidRPr="007844C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2020 – 2030);</w:t>
            </w:r>
          </w:p>
          <w:p w14:paraId="316465B4" w14:textId="3A8C6761" w:rsidR="002A077E" w:rsidRDefault="0097524A" w:rsidP="002A077E">
            <w:pPr>
              <w:pStyle w:val="Odsekzoznamu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I. </w:t>
            </w:r>
            <w:r w:rsidR="002A077E" w:rsidRPr="00E10C4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Akčný plán implementácie Cestovnej mapy výskumných infraštruktúr na obdobie rokov 2024 -2026 (Aktualizované nové znenie);</w:t>
            </w:r>
          </w:p>
          <w:p w14:paraId="739E73AB" w14:textId="2FF18946" w:rsidR="002A077E" w:rsidRDefault="002A077E" w:rsidP="002A077E">
            <w:pPr>
              <w:pStyle w:val="Odsekzoznamu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Podklady od Ministerstva zdravotníctva </w:t>
            </w:r>
            <w:r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</w:t>
            </w:r>
            <w:r w:rsidR="0082226D" w:rsidRPr="00813C7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;</w:t>
            </w:r>
          </w:p>
          <w:p w14:paraId="20C859B0" w14:textId="3CFE9A09" w:rsidR="001B23B7" w:rsidRPr="00E10C4C" w:rsidRDefault="002A077E" w:rsidP="000800FC">
            <w:pPr>
              <w:pStyle w:val="Odsekzoznamu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Konzultácie s odborníkmi a predstaviteľmi inštitúcií participujúcich na aktivitách S</w:t>
            </w:r>
            <w:r w:rsidR="003C723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lovenskej republiky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 rámci </w:t>
            </w:r>
            <w:r w:rsidR="003C0FD7" w:rsidRPr="00E10C4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výskumných infraštruktúr</w:t>
            </w:r>
            <w:r w:rsidR="00130E4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</w:tr>
      <w:tr w:rsidR="00612E08" w:rsidRPr="00612E08" w14:paraId="2E564182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57568BD0" w14:textId="7527F768" w:rsidR="001B23B7" w:rsidRPr="00612E08" w:rsidRDefault="001B23B7" w:rsidP="000800FC">
            <w:pPr>
              <w:numPr>
                <w:ilvl w:val="0"/>
                <w:numId w:val="1"/>
              </w:numPr>
              <w:ind w:left="447" w:hanging="425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Stanovisko Komisie na posudzovanie vybraných vplyvov z PPK č.</w:t>
            </w:r>
            <w:r w:rsidR="00451BEB">
              <w:rPr>
                <w:rFonts w:ascii="Times New Roman" w:eastAsia="Calibri" w:hAnsi="Times New Roman" w:cs="Times New Roman"/>
                <w:b/>
              </w:rPr>
              <w:t xml:space="preserve"> 078/2024</w:t>
            </w:r>
            <w:r w:rsidRPr="00612E08">
              <w:rPr>
                <w:rFonts w:ascii="Calibri" w:eastAsia="Calibri" w:hAnsi="Calibri" w:cs="Times New Roman"/>
              </w:rPr>
              <w:t xml:space="preserve"> </w:t>
            </w:r>
          </w:p>
          <w:p w14:paraId="2E3E7D36" w14:textId="77777777" w:rsidR="001B23B7" w:rsidRPr="00612E08" w:rsidRDefault="001B23B7" w:rsidP="000800FC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612E08" w:rsidRPr="00612E08" w14:paraId="44208C2D" w14:textId="77777777" w:rsidTr="006F6B62">
        <w:trPr>
          <w:trHeight w:val="70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BD73E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612E08" w14:paraId="313C97A1" w14:textId="77777777" w:rsidTr="000800FC">
              <w:trPr>
                <w:trHeight w:val="396"/>
              </w:trPr>
              <w:tc>
                <w:tcPr>
                  <w:tcW w:w="2552" w:type="dxa"/>
                </w:tcPr>
                <w:p w14:paraId="4D1D3625" w14:textId="0DD432F4" w:rsidR="001B23B7" w:rsidRPr="00612E08" w:rsidRDefault="00813C71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51BE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14:paraId="74B3145C" w14:textId="54DEBC5F" w:rsidR="001B23B7" w:rsidRPr="00612E08" w:rsidRDefault="00813C71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51BE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☒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návrhom na dopracovanie</w:t>
                  </w:r>
                </w:p>
              </w:tc>
              <w:tc>
                <w:tcPr>
                  <w:tcW w:w="2534" w:type="dxa"/>
                </w:tcPr>
                <w:p w14:paraId="15211558" w14:textId="77777777" w:rsidR="001B23B7" w:rsidRPr="00612E08" w:rsidRDefault="00813C71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14:paraId="7C91B9FA" w14:textId="1552B3E2" w:rsidR="001B23B7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20CB9A61" w14:textId="0A7E5B5C" w:rsidR="00451BEB" w:rsidRDefault="00451BEB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31769F78" w14:textId="0B4CDC7E" w:rsidR="00451BEB" w:rsidRPr="00E74DFF" w:rsidRDefault="00451BEB" w:rsidP="00451BE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74DF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Komisia uplat</w:t>
            </w:r>
            <w:r w:rsidR="00E74DF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nila</w:t>
            </w:r>
            <w:r w:rsidRPr="00E74DF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k materiálu nasledovné pripomienky a odporúčania:</w:t>
            </w:r>
          </w:p>
          <w:p w14:paraId="2ED085A1" w14:textId="77777777" w:rsidR="00451BEB" w:rsidRPr="00451BEB" w:rsidRDefault="00451BEB" w:rsidP="00451B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0A32C76" w14:textId="1EB37530" w:rsidR="00451BEB" w:rsidRPr="00451BEB" w:rsidRDefault="00451BEB" w:rsidP="00451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1B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 vplyvom na rozpočet verejnej správy</w:t>
            </w:r>
            <w:r w:rsidR="00E74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5EED5C78" w14:textId="6536C266" w:rsidR="00451BEB" w:rsidRDefault="00451BEB" w:rsidP="00451B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1BEB">
              <w:rPr>
                <w:rFonts w:ascii="Times New Roman" w:hAnsi="Times New Roman" w:cs="Times New Roman"/>
                <w:bCs/>
                <w:sz w:val="20"/>
                <w:szCs w:val="20"/>
              </w:rPr>
              <w:t>Komisia upozorňuje predkladateľa, že vplyv na dlhodobú udržateľnosť verejných financií v prípade vybraných opatrení sa v zmysle Jednotnej metodiky na posudzovanie vybraných vplyvov posudzuje len pri zmenách v I. a II. pilieri univerzálneho systému dôchodkového zabezpečenia s identifikovaným dopadom od 0,1 % HDP (vrátane) na dlhodobom horizonte.</w:t>
            </w:r>
          </w:p>
          <w:p w14:paraId="00CCA870" w14:textId="46667AF2" w:rsidR="00870AA4" w:rsidRDefault="00870AA4" w:rsidP="00451B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019E3B2" w14:textId="194DA4E0" w:rsidR="00870AA4" w:rsidRDefault="00D76D10" w:rsidP="00451B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76D1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Vyhodnotenie predkladateľa:</w:t>
            </w:r>
          </w:p>
          <w:p w14:paraId="52BAE97C" w14:textId="09C5086C" w:rsidR="00D76D10" w:rsidRPr="00D76D10" w:rsidRDefault="00D76D10" w:rsidP="00451B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Pripomienka Komisie bola akceptovaná v plnom rozsahu a následne zapracovaná v Doložke vybraných vplyvov časť 9 - 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  <w:p w14:paraId="621B15CF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53E57903" w14:textId="77777777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tcBorders>
              <w:top w:val="single" w:sz="4" w:space="0" w:color="auto"/>
            </w:tcBorders>
            <w:shd w:val="clear" w:color="auto" w:fill="E2E2E2"/>
          </w:tcPr>
          <w:p w14:paraId="2FAE7C5B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50" w:hanging="425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Stanovisko Komisie na posudzovanie vybraných vplyvov zo záverečného posúdenia č. ..........</w:t>
            </w:r>
            <w:r w:rsidRPr="00612E08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612E08" w:rsidRPr="00612E08" w14:paraId="00D76833" w14:textId="77777777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shd w:val="clear" w:color="auto" w:fill="FFFFFF"/>
          </w:tcPr>
          <w:p w14:paraId="25604CA5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612E08" w14:paraId="170931C6" w14:textId="77777777" w:rsidTr="000800FC">
              <w:trPr>
                <w:trHeight w:val="396"/>
              </w:trPr>
              <w:tc>
                <w:tcPr>
                  <w:tcW w:w="2552" w:type="dxa"/>
                </w:tcPr>
                <w:p w14:paraId="7A6926A3" w14:textId="77777777" w:rsidR="001B23B7" w:rsidRPr="00612E08" w:rsidRDefault="00813C71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14:paraId="2EFC2D1B" w14:textId="77777777" w:rsidR="001B23B7" w:rsidRPr="00612E08" w:rsidRDefault="00813C71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 návrhom na dopracovanie</w:t>
                  </w:r>
                </w:p>
              </w:tc>
              <w:tc>
                <w:tcPr>
                  <w:tcW w:w="2534" w:type="dxa"/>
                </w:tcPr>
                <w:p w14:paraId="1B5B423F" w14:textId="77777777" w:rsidR="001B23B7" w:rsidRPr="00612E08" w:rsidRDefault="00813C71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14:paraId="56C725F6" w14:textId="77777777" w:rsidR="001B23B7" w:rsidRPr="00612E08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31082E94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21EF9FEF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</w:tbl>
    <w:p w14:paraId="62C50DDE" w14:textId="77777777" w:rsidR="00543466" w:rsidRPr="00612E08" w:rsidRDefault="00543466"/>
    <w:sectPr w:rsidR="00543466" w:rsidRPr="00612E08" w:rsidSect="001E356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44F8B" w14:textId="77777777" w:rsidR="009E1C63" w:rsidRDefault="009E1C63" w:rsidP="001B23B7">
      <w:pPr>
        <w:spacing w:after="0" w:line="240" w:lineRule="auto"/>
      </w:pPr>
      <w:r>
        <w:separator/>
      </w:r>
    </w:p>
  </w:endnote>
  <w:endnote w:type="continuationSeparator" w:id="0">
    <w:p w14:paraId="33DC07A4" w14:textId="77777777" w:rsidR="009E1C63" w:rsidRDefault="009E1C63" w:rsidP="001B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119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8321472" w14:textId="77777777" w:rsidR="001B23B7" w:rsidRPr="006045CB" w:rsidRDefault="008B222D" w:rsidP="001B23B7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3B7"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2E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4471A13" w14:textId="77777777" w:rsidR="001B23B7" w:rsidRDefault="001B23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51D8A" w14:textId="77777777" w:rsidR="009E1C63" w:rsidRDefault="009E1C63" w:rsidP="001B23B7">
      <w:pPr>
        <w:spacing w:after="0" w:line="240" w:lineRule="auto"/>
      </w:pPr>
      <w:r>
        <w:separator/>
      </w:r>
    </w:p>
  </w:footnote>
  <w:footnote w:type="continuationSeparator" w:id="0">
    <w:p w14:paraId="543877D1" w14:textId="77777777" w:rsidR="009E1C63" w:rsidRDefault="009E1C63" w:rsidP="001B2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5E133" w14:textId="77777777" w:rsidR="001B23B7" w:rsidRPr="006045CB" w:rsidRDefault="001B23B7" w:rsidP="001B23B7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sk-SK"/>
      </w:rPr>
    </w:pPr>
    <w:r w:rsidRPr="006045CB">
      <w:rPr>
        <w:rFonts w:ascii="Times New Roman" w:eastAsia="Times New Roman" w:hAnsi="Times New Roman" w:cs="Times New Roman"/>
        <w:sz w:val="24"/>
        <w:szCs w:val="24"/>
        <w:lang w:eastAsia="sk-SK"/>
      </w:rPr>
      <w:t xml:space="preserve">Príloha č. </w:t>
    </w:r>
    <w:r>
      <w:rPr>
        <w:rFonts w:ascii="Times New Roman" w:eastAsia="Times New Roman" w:hAnsi="Times New Roman" w:cs="Times New Roman"/>
        <w:sz w:val="24"/>
        <w:szCs w:val="24"/>
        <w:lang w:eastAsia="sk-SK"/>
      </w:rPr>
      <w:t>1</w:t>
    </w:r>
  </w:p>
  <w:p w14:paraId="233D19F3" w14:textId="77777777" w:rsidR="001B23B7" w:rsidRDefault="001B23B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465D1A"/>
    <w:multiLevelType w:val="hybridMultilevel"/>
    <w:tmpl w:val="A0A67A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86D8F"/>
    <w:multiLevelType w:val="hybridMultilevel"/>
    <w:tmpl w:val="F6BE71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E2348"/>
    <w:multiLevelType w:val="hybridMultilevel"/>
    <w:tmpl w:val="633C872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451436383">
    <w:abstractNumId w:val="3"/>
  </w:num>
  <w:num w:numId="2" w16cid:durableId="2041544677">
    <w:abstractNumId w:val="1"/>
  </w:num>
  <w:num w:numId="3" w16cid:durableId="248391365">
    <w:abstractNumId w:val="2"/>
  </w:num>
  <w:num w:numId="4" w16cid:durableId="180239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B7"/>
    <w:rsid w:val="000013C3"/>
    <w:rsid w:val="00004743"/>
    <w:rsid w:val="00015E1A"/>
    <w:rsid w:val="0001774C"/>
    <w:rsid w:val="00043706"/>
    <w:rsid w:val="000608A4"/>
    <w:rsid w:val="0006693B"/>
    <w:rsid w:val="00067D69"/>
    <w:rsid w:val="00093DE9"/>
    <w:rsid w:val="00097069"/>
    <w:rsid w:val="000D2FE2"/>
    <w:rsid w:val="000D348F"/>
    <w:rsid w:val="000D500B"/>
    <w:rsid w:val="000F2BE9"/>
    <w:rsid w:val="0010079E"/>
    <w:rsid w:val="001016B0"/>
    <w:rsid w:val="00113AE4"/>
    <w:rsid w:val="0012309E"/>
    <w:rsid w:val="00130E40"/>
    <w:rsid w:val="00156064"/>
    <w:rsid w:val="00187182"/>
    <w:rsid w:val="00190F78"/>
    <w:rsid w:val="001A6148"/>
    <w:rsid w:val="001B23B7"/>
    <w:rsid w:val="001B3BBD"/>
    <w:rsid w:val="001D5835"/>
    <w:rsid w:val="001E3562"/>
    <w:rsid w:val="00203EE3"/>
    <w:rsid w:val="00210A78"/>
    <w:rsid w:val="00213A42"/>
    <w:rsid w:val="002243BB"/>
    <w:rsid w:val="0023360B"/>
    <w:rsid w:val="00243652"/>
    <w:rsid w:val="00245413"/>
    <w:rsid w:val="00261AF9"/>
    <w:rsid w:val="002A077E"/>
    <w:rsid w:val="002E3F2A"/>
    <w:rsid w:val="002F6ADB"/>
    <w:rsid w:val="003145AE"/>
    <w:rsid w:val="003553ED"/>
    <w:rsid w:val="00393F78"/>
    <w:rsid w:val="003A057B"/>
    <w:rsid w:val="003A381E"/>
    <w:rsid w:val="003C0FD7"/>
    <w:rsid w:val="003C7237"/>
    <w:rsid w:val="00411898"/>
    <w:rsid w:val="00451BEB"/>
    <w:rsid w:val="0047651E"/>
    <w:rsid w:val="00491462"/>
    <w:rsid w:val="0049476D"/>
    <w:rsid w:val="004A4383"/>
    <w:rsid w:val="004A56D9"/>
    <w:rsid w:val="004C6831"/>
    <w:rsid w:val="004D0CC0"/>
    <w:rsid w:val="00543466"/>
    <w:rsid w:val="00591EC6"/>
    <w:rsid w:val="00591ED3"/>
    <w:rsid w:val="00595A75"/>
    <w:rsid w:val="005F7F6C"/>
    <w:rsid w:val="006044AA"/>
    <w:rsid w:val="00611D7D"/>
    <w:rsid w:val="00612E08"/>
    <w:rsid w:val="00621D9B"/>
    <w:rsid w:val="006F678E"/>
    <w:rsid w:val="006F6B62"/>
    <w:rsid w:val="00720322"/>
    <w:rsid w:val="0075197E"/>
    <w:rsid w:val="00761208"/>
    <w:rsid w:val="007756BE"/>
    <w:rsid w:val="007B40C1"/>
    <w:rsid w:val="007C5312"/>
    <w:rsid w:val="007D0D28"/>
    <w:rsid w:val="007D6507"/>
    <w:rsid w:val="007D6F2C"/>
    <w:rsid w:val="007F587A"/>
    <w:rsid w:val="0080042A"/>
    <w:rsid w:val="00813C71"/>
    <w:rsid w:val="0082226D"/>
    <w:rsid w:val="00847998"/>
    <w:rsid w:val="00862790"/>
    <w:rsid w:val="00865E81"/>
    <w:rsid w:val="00870AA4"/>
    <w:rsid w:val="008801B5"/>
    <w:rsid w:val="0088026A"/>
    <w:rsid w:val="00881E07"/>
    <w:rsid w:val="008B222D"/>
    <w:rsid w:val="008C79B7"/>
    <w:rsid w:val="00901A32"/>
    <w:rsid w:val="009079D7"/>
    <w:rsid w:val="00930E46"/>
    <w:rsid w:val="009431E3"/>
    <w:rsid w:val="009475F5"/>
    <w:rsid w:val="009717F5"/>
    <w:rsid w:val="0097524A"/>
    <w:rsid w:val="0098472E"/>
    <w:rsid w:val="00985D7E"/>
    <w:rsid w:val="009930A4"/>
    <w:rsid w:val="009A22D9"/>
    <w:rsid w:val="009C3F5B"/>
    <w:rsid w:val="009C424C"/>
    <w:rsid w:val="009E09F7"/>
    <w:rsid w:val="009E1C63"/>
    <w:rsid w:val="009E4B4B"/>
    <w:rsid w:val="009F4832"/>
    <w:rsid w:val="00A02D36"/>
    <w:rsid w:val="00A2528F"/>
    <w:rsid w:val="00A340BB"/>
    <w:rsid w:val="00A60413"/>
    <w:rsid w:val="00A7788F"/>
    <w:rsid w:val="00A95942"/>
    <w:rsid w:val="00AC30D6"/>
    <w:rsid w:val="00B00B6E"/>
    <w:rsid w:val="00B2176A"/>
    <w:rsid w:val="00B547F5"/>
    <w:rsid w:val="00B670DD"/>
    <w:rsid w:val="00B84981"/>
    <w:rsid w:val="00B84F87"/>
    <w:rsid w:val="00BA2BF4"/>
    <w:rsid w:val="00BD09DD"/>
    <w:rsid w:val="00C3157F"/>
    <w:rsid w:val="00C44268"/>
    <w:rsid w:val="00C67A23"/>
    <w:rsid w:val="00C86714"/>
    <w:rsid w:val="00C94E4E"/>
    <w:rsid w:val="00CB08AE"/>
    <w:rsid w:val="00CD082E"/>
    <w:rsid w:val="00CD6E04"/>
    <w:rsid w:val="00CE6AAE"/>
    <w:rsid w:val="00CF1A25"/>
    <w:rsid w:val="00CF39EC"/>
    <w:rsid w:val="00D16B6E"/>
    <w:rsid w:val="00D2313B"/>
    <w:rsid w:val="00D50F1E"/>
    <w:rsid w:val="00D7457F"/>
    <w:rsid w:val="00D7687A"/>
    <w:rsid w:val="00D76D10"/>
    <w:rsid w:val="00D93901"/>
    <w:rsid w:val="00DF196A"/>
    <w:rsid w:val="00DF357C"/>
    <w:rsid w:val="00E10C4C"/>
    <w:rsid w:val="00E112FD"/>
    <w:rsid w:val="00E31327"/>
    <w:rsid w:val="00E349D8"/>
    <w:rsid w:val="00E440B4"/>
    <w:rsid w:val="00E63C56"/>
    <w:rsid w:val="00E7412A"/>
    <w:rsid w:val="00E74DFF"/>
    <w:rsid w:val="00EB02FE"/>
    <w:rsid w:val="00ED165A"/>
    <w:rsid w:val="00ED1AC0"/>
    <w:rsid w:val="00ED41E7"/>
    <w:rsid w:val="00F24D33"/>
    <w:rsid w:val="00F50A84"/>
    <w:rsid w:val="00F87681"/>
    <w:rsid w:val="00FA02DB"/>
    <w:rsid w:val="00FC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285E"/>
  <w15:docId w15:val="{C22633DC-8D46-48BC-BA81-5E230000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23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3B7"/>
  </w:style>
  <w:style w:type="paragraph" w:styleId="Pta">
    <w:name w:val="footer"/>
    <w:basedOn w:val="Normlny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3B7"/>
  </w:style>
  <w:style w:type="paragraph" w:styleId="Textbubliny">
    <w:name w:val="Balloon Text"/>
    <w:basedOn w:val="Normlny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0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7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2A077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D0C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D0CC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D0CC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D0C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D0CC0"/>
    <w:rPr>
      <w:b/>
      <w:bCs/>
      <w:sz w:val="20"/>
      <w:szCs w:val="20"/>
    </w:rPr>
  </w:style>
  <w:style w:type="character" w:customStyle="1" w:styleId="norm00e1lnychar1">
    <w:name w:val="norm_00e1lny__char1"/>
    <w:rsid w:val="00451BE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 ref="">
    <f:field ref="objname" par="" edit="true" text="Vlastný-materiál,-príloha-č.-1"/>
    <f:field ref="objsubject" par="" edit="true" text=""/>
    <f:field ref="objcreatedby" par="" text="Drieniková, Kristína"/>
    <f:field ref="objcreatedat" par="" text="4.11.2020 11:13:17"/>
    <f:field ref="objchangedby" par="" text="Matúšek, Miloš, JUDr."/>
    <f:field ref="objmodifiedat" par="" text="4.11.2020 13:53:1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EFCA1441-30C2-49BE-81D4-73AB72C0B3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1485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Drienikova Kristina</dc:creator>
  <cp:keywords/>
  <dc:description/>
  <cp:lastModifiedBy>Šulková Petra</cp:lastModifiedBy>
  <cp:revision>2</cp:revision>
  <cp:lastPrinted>2024-07-01T10:21:00Z</cp:lastPrinted>
  <dcterms:created xsi:type="dcterms:W3CDTF">2024-08-08T12:11:00Z</dcterms:created>
  <dcterms:modified xsi:type="dcterms:W3CDTF">2024-08-08T12:11:00Z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2020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Kristína Drieniková</vt:lpwstr>
  </property>
  <property fmtid="{D5CDD505-2E9C-101B-9397-08002B2CF9AE}" pid="12" name="FSC#SKEDITIONSLOVLEX@103.510:zodppredkladatel">
    <vt:lpwstr>Ing. Richard Sulík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aktualizácie Jednotnej metodiky na posudzovanie vybraných vplyvov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Úloha B.3 uznesenia vlády SR č. 32/2018_x000d_
Programové vyhlásenie vlády Slovenskej republiky</vt:lpwstr>
  </property>
  <property fmtid="{D5CDD505-2E9C-101B-9397-08002B2CF9AE}" pid="23" name="FSC#SKEDITIONSLOVLEX@103.510:plnynazovpredpis">
    <vt:lpwstr> Návrh aktualizácie Jednotnej metodiky na posudzovanie vybraných vplyvov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32473/2020-3040-105289                        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LP/2020/509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Výrazný pozitívny vplyv na podnikateľské prostredie v&amp;nbsp;podobe znižovania regulačných nákladov sa očakáva až po zavedení a&amp;nbsp;uplatňovaní mechanizmu </vt:lpwstr>
  </property>
  <property fmtid="{D5CDD505-2E9C-101B-9397-08002B2CF9AE}" pid="66" name="FSC#SKEDITIONSLOVLEX@103.510:AttrStrListDocPropAltRiesenia">
    <vt:lpwstr>Alternatívnym riešením je nulový variant, t. j. ponechanie súčasného stavu bez zmien, technických upresnení a bez zavedenia princípu „one in – two out“. Uplatnenie nulového variantu by v praxi znamenalo nezastavenie zvyšovania regulačných nákladov pre pod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podpredseda vlády a minister hospodárstva  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hospodárstva Slovenskej republiky</vt:lpwstr>
  </property>
  <property fmtid="{D5CDD505-2E9C-101B-9397-08002B2CF9AE}" pid="142" name="FSC#SKEDITIONSLOVLEX@103.510:funkciaZodpPredAkuzativ">
    <vt:lpwstr>ministra hospodárstva Slovenskej republiky</vt:lpwstr>
  </property>
  <property fmtid="{D5CDD505-2E9C-101B-9397-08002B2CF9AE}" pid="143" name="FSC#SKEDITIONSLOVLEX@103.510:funkciaZodpPredDativ">
    <vt:lpwstr>ministrovi hospodárstva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Richard Sulík_x000d_
minister hospodárstva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justify;"&gt;Po vzore dobrých príkladov z iných krajín a v súlade s plánmi Európskej komisie sa vláda SR zaviazala v Programovom vyhlásení zaviesť princíp „one in – one out“ s účinnosťou &amp;nbsp;od 1.&amp;nbsp;1. 2021 a princíp „one in - two </vt:lpwstr>
  </property>
  <property fmtid="{D5CDD505-2E9C-101B-9397-08002B2CF9AE}" pid="150" name="FSC#SKEDITIONSLOVLEX@103.510:vytvorenedna">
    <vt:lpwstr>4. 11. 2020</vt:lpwstr>
  </property>
  <property fmtid="{D5CDD505-2E9C-101B-9397-08002B2CF9AE}" pid="151" name="FSC#COOSYSTEM@1.1:Container">
    <vt:lpwstr>COO.2145.1000.3.4081373</vt:lpwstr>
  </property>
  <property fmtid="{D5CDD505-2E9C-101B-9397-08002B2CF9AE}" pid="152" name="FSC#FSCFOLIO@1.1001:docpropproject">
    <vt:lpwstr/>
  </property>
</Properties>
</file>