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4142BE9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5C17AB60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5E13B2C5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79E8E789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73489269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3A5A4291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4AF5477A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7EB2E0F3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7AC34C76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16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4776FC52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276C1F9A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21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308CEA7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3EC8E5E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E1A081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1F8A49B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43049814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27D85C5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4C5C8E58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31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C7B79BF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6F462D8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33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39A82DF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lastRenderedPageBreak/>
        <w:t xml:space="preserve">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3BB58C5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Opis Projektu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2192D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C65B1A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„09I01-03-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V0</w:t>
      </w:r>
      <w:r w:rsidR="00886C2E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–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Podpora prípravy projektov v Horizonte Európa“ Opis Projektu obsahuje údaje potrebné na vyplatenie Prostriedkov mechanizmu Prijímateľovi, a to v rozsahu údajov</w:t>
      </w:r>
      <w:r w:rsidR="007C7919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ako sú v Žiadosti o platbu.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preddavok“ a pre doklad, na základe ktorého sa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2853C769">
        <w:rPr>
          <w:rFonts w:ascii="Arial Narrow" w:hAnsi="Arial Narrow"/>
          <w:b/>
          <w:bCs/>
          <w:lang w:val="en-US"/>
        </w:rPr>
        <w:t>Predmet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2853C769">
        <w:rPr>
          <w:rFonts w:ascii="Arial Narrow" w:hAnsi="Arial Narrow"/>
          <w:lang w:val="en-US"/>
        </w:rPr>
        <w:t xml:space="preserve"> – </w:t>
      </w:r>
      <w:proofErr w:type="spellStart"/>
      <w:r w:rsidRPr="2853C769">
        <w:rPr>
          <w:rFonts w:ascii="Arial Narrow" w:hAnsi="Arial Narrow"/>
          <w:lang w:val="en-US"/>
        </w:rPr>
        <w:t>hmotne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zachytiteľná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podstata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ktorej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nadobudnutie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realizácia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rekonštrukcia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poskytnutie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iné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aktivity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opísané</w:t>
      </w:r>
      <w:proofErr w:type="spellEnd"/>
      <w:r w:rsidRPr="2853C769">
        <w:rPr>
          <w:rFonts w:ascii="Arial Narrow" w:hAnsi="Arial Narrow"/>
          <w:lang w:val="en-US"/>
        </w:rPr>
        <w:t xml:space="preserve"> v </w:t>
      </w:r>
      <w:proofErr w:type="spellStart"/>
      <w:r w:rsidRPr="2853C769">
        <w:rPr>
          <w:rFonts w:ascii="Arial Narrow" w:hAnsi="Arial Narrow"/>
          <w:lang w:val="en-US"/>
        </w:rPr>
        <w:t>Projekte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boli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spolufinancované</w:t>
      </w:r>
      <w:proofErr w:type="spellEnd"/>
      <w:r w:rsidRPr="2853C769">
        <w:rPr>
          <w:rFonts w:ascii="Arial Narrow" w:hAnsi="Arial Narrow"/>
          <w:lang w:val="en-US"/>
        </w:rPr>
        <w:t xml:space="preserve"> z </w:t>
      </w:r>
      <w:proofErr w:type="spellStart"/>
      <w:r w:rsidR="00AE4BD5" w:rsidRPr="2853C769">
        <w:rPr>
          <w:rFonts w:ascii="Arial Narrow" w:hAnsi="Arial Narrow"/>
          <w:lang w:val="en-US"/>
        </w:rPr>
        <w:t>P</w:t>
      </w:r>
      <w:r w:rsidRPr="2853C769">
        <w:rPr>
          <w:rFonts w:ascii="Arial Narrow" w:hAnsi="Arial Narrow"/>
          <w:lang w:val="en-US"/>
        </w:rPr>
        <w:t>rostriedkov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mechanizmu</w:t>
      </w:r>
      <w:proofErr w:type="spellEnd"/>
      <w:r w:rsidRPr="2853C769">
        <w:rPr>
          <w:rFonts w:ascii="Arial Narrow" w:hAnsi="Arial Narrow"/>
          <w:lang w:val="en-US"/>
        </w:rPr>
        <w:t xml:space="preserve">;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ísť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napríklad</w:t>
      </w:r>
      <w:proofErr w:type="spellEnd"/>
      <w:r w:rsidRPr="2853C769">
        <w:rPr>
          <w:rFonts w:ascii="Arial Narrow" w:hAnsi="Arial Narrow"/>
          <w:lang w:val="en-US"/>
        </w:rPr>
        <w:t xml:space="preserve"> o </w:t>
      </w:r>
      <w:proofErr w:type="spellStart"/>
      <w:r w:rsidRPr="2853C769">
        <w:rPr>
          <w:rFonts w:ascii="Arial Narrow" w:hAnsi="Arial Narrow"/>
          <w:lang w:val="en-US"/>
        </w:rPr>
        <w:t>stavbu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zariadenie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dokumentáciu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inú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vec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majetkovú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hodnotu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právo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pričom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jeden</w:t>
      </w:r>
      <w:proofErr w:type="spellEnd"/>
      <w:r w:rsidRPr="2853C769">
        <w:rPr>
          <w:rFonts w:ascii="Arial Narrow" w:hAnsi="Arial Narrow"/>
          <w:lang w:val="en-US"/>
        </w:rPr>
        <w:t xml:space="preserve"> Projekt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zahŕňať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viacero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Predmetov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2853C769">
        <w:rPr>
          <w:rFonts w:ascii="Arial Narrow" w:hAnsi="Arial Narrow"/>
          <w:lang w:val="en-US"/>
        </w:rPr>
        <w:t>Projektu</w:t>
      </w:r>
      <w:proofErr w:type="spellEnd"/>
      <w:r w:rsidR="004D63E1" w:rsidRPr="2853C769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2853C769">
        <w:rPr>
          <w:rFonts w:ascii="Arial Narrow" w:hAnsi="Arial Narrow"/>
          <w:b/>
          <w:bCs/>
          <w:lang w:val="en-US"/>
        </w:rPr>
        <w:t>Princíp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2853C769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nenarušiť</w:t>
      </w:r>
      <w:proofErr w:type="spellEnd"/>
      <w:r w:rsidRPr="2853C769">
        <w:rPr>
          <w:rFonts w:ascii="Arial Narrow" w:hAnsi="Arial Narrow"/>
          <w:b/>
          <w:bCs/>
          <w:lang w:val="en-US"/>
        </w:rPr>
        <w:t>“</w:t>
      </w:r>
      <w:r w:rsidR="00411D5F" w:rsidRPr="2853C769">
        <w:rPr>
          <w:rFonts w:ascii="Arial Narrow" w:hAnsi="Arial Narrow"/>
          <w:b/>
          <w:bCs/>
          <w:lang w:val="en-US"/>
        </w:rPr>
        <w:t xml:space="preserve"> </w:t>
      </w:r>
      <w:r w:rsidR="00411D5F" w:rsidRPr="2853C769">
        <w:rPr>
          <w:rFonts w:ascii="Arial Narrow" w:hAnsi="Arial Narrow"/>
          <w:lang w:val="en-US"/>
        </w:rPr>
        <w:t>–</w:t>
      </w:r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znamená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nepodporovať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nevykonávať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hospodárske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činnosti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výrazne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poškodzujú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akékoľvek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environmentálne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ciele</w:t>
      </w:r>
      <w:proofErr w:type="spellEnd"/>
      <w:r w:rsidRPr="2853C769">
        <w:rPr>
          <w:rFonts w:ascii="Arial Narrow" w:hAnsi="Arial Narrow"/>
          <w:lang w:val="en-US"/>
        </w:rPr>
        <w:t xml:space="preserve">, v </w:t>
      </w:r>
      <w:proofErr w:type="spellStart"/>
      <w:r w:rsidRPr="2853C769">
        <w:rPr>
          <w:rFonts w:ascii="Arial Narrow" w:hAnsi="Arial Narrow"/>
          <w:lang w:val="en-US"/>
        </w:rPr>
        <w:t>relevantných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prípadoch</w:t>
      </w:r>
      <w:proofErr w:type="spellEnd"/>
      <w:r w:rsidRPr="2853C769">
        <w:rPr>
          <w:rFonts w:ascii="Arial Narrow" w:hAnsi="Arial Narrow"/>
          <w:lang w:val="en-US"/>
        </w:rPr>
        <w:t xml:space="preserve"> v </w:t>
      </w:r>
      <w:proofErr w:type="spellStart"/>
      <w:r w:rsidRPr="2853C769">
        <w:rPr>
          <w:rFonts w:ascii="Arial Narrow" w:hAnsi="Arial Narrow"/>
          <w:lang w:val="en-US"/>
        </w:rPr>
        <w:t>zmysle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článku</w:t>
      </w:r>
      <w:proofErr w:type="spellEnd"/>
      <w:r w:rsidRPr="2853C769">
        <w:rPr>
          <w:rFonts w:ascii="Arial Narrow" w:hAnsi="Arial Narrow"/>
          <w:lang w:val="en-US"/>
        </w:rPr>
        <w:t xml:space="preserve"> 17 </w:t>
      </w:r>
      <w:proofErr w:type="spellStart"/>
      <w:r w:rsidRPr="2853C769">
        <w:rPr>
          <w:rFonts w:ascii="Arial Narrow" w:hAnsi="Arial Narrow"/>
          <w:lang w:val="en-US"/>
        </w:rPr>
        <w:t>nariadenia</w:t>
      </w:r>
      <w:proofErr w:type="spellEnd"/>
      <w:r w:rsidRPr="2853C769">
        <w:rPr>
          <w:rFonts w:ascii="Arial Narrow" w:hAnsi="Arial Narrow"/>
          <w:lang w:val="en-US"/>
        </w:rPr>
        <w:t xml:space="preserve"> (EÚ) 2020/852;</w:t>
      </w:r>
    </w:p>
    <w:p w14:paraId="093B32EE" w14:textId="492C8825" w:rsidR="00D008B7" w:rsidRPr="00900AF8" w:rsidRDefault="00D008B7" w:rsidP="11CE2598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</w:pPr>
      <w:r w:rsidRPr="2192D3A5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val="sk-SK" w:eastAsia="sk-SK"/>
        </w:rPr>
        <w:t xml:space="preserve">Projekt </w:t>
      </w:r>
      <w:r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- </w:t>
      </w:r>
      <w:r w:rsidR="00223B3D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 Pre účely výzvy „09I01-03</w:t>
      </w:r>
      <w:r w:rsidR="00C65B1A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 sa projektom rozumie súhrn už ukončených aktivít súvisiacich s prípravou a podaním projektového zámeru do výziev programu Horizontu Európa a/alebo jeho oprávnených častí, ako boli definované v texte výzvy, tzn. ide o retrospektívny projekt. Z tohto dôvodu sa aj ďalšie pojmy uvedené v čl. 1 ods. 2 VZP použijú primerane v prepojení na uvedenú definíciu projektu.</w:t>
      </w:r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V prípade, ak žiadateľ podal kumulovanú </w:t>
      </w:r>
      <w:proofErr w:type="spellStart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ŽoPPM</w:t>
      </w:r>
      <w:proofErr w:type="spellEnd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 viac projektových zámerov, projektom sa rozumie sú</w:t>
      </w:r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hrn už ukončených aktivít súvisiacich s prípravou a podaním všetkých oprávnených projektových zámerov vyplývajúcich z kladne posúdenej </w:t>
      </w:r>
      <w:proofErr w:type="spellStart"/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PM</w:t>
      </w:r>
      <w:proofErr w:type="spellEnd"/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účtovníctve, pričom za dostatočné splnenie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30FC0938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r w:rsidR="00666D42" w:rsidRPr="00666D42">
        <w:rPr>
          <w:rFonts w:ascii="Arial Narrow" w:eastAsia="Calibri" w:hAnsi="Arial Narrow" w:cs="Times New Roman"/>
          <w:sz w:val="22"/>
          <w:szCs w:val="22"/>
          <w:lang w:val="sk-SK" w:eastAsia="en-US"/>
        </w:rPr>
        <w:t>2023/2831 z 13. decembra 2023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4C6FC257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D125D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-V02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</w:t>
      </w:r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sa </w:t>
      </w:r>
      <w:proofErr w:type="spellStart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proofErr w:type="spellEnd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nahrádza Zmluvou o poskytnutí prostriedkov mechanizmu.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1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1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2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2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73161089" w:rsidR="00F817D6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30853C53" w14:textId="2EDB0DEA" w:rsidR="00012DA7" w:rsidRPr="00007360" w:rsidRDefault="00012DA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Prijímateľ sa zaväzuje, že zo získaných finančných prostriedkov nie je možné hradiť z týchto výdavkov DPH, pokiaľ je uplatniteľná podľa vnútroštátnych právnych predpisov (napr. v Slovenskej republike je to zákon č. 222/2004 Z. z. o dani z pridanej hodnoty v znení neskorších predpisov). 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272FCF19" w:rsidR="006639BF" w:rsidRPr="00900AF8" w:rsidRDefault="002B3583" w:rsidP="00A022A6">
      <w:pPr>
        <w:pStyle w:val="Nadpis2"/>
      </w:pPr>
      <w:bookmarkStart w:id="3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3"/>
    </w:p>
    <w:p w14:paraId="6FFD4A70" w14:textId="5CCBF728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1A8FA441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1C852ABF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3914D870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6DEE9976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5F4EA7BF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9A6EFBC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2F11B829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lastRenderedPageBreak/>
        <w:t>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76F3A42B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4BAFA13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32600E19" w:rsidR="006639BF" w:rsidRPr="00900AF8" w:rsidRDefault="001E61BB" w:rsidP="00A022A6">
      <w:pPr>
        <w:pStyle w:val="Nadpis2"/>
      </w:pPr>
      <w:bookmarkStart w:id="4" w:name="_Toc92752247"/>
      <w:r w:rsidRPr="00900AF8">
        <w:t>Č</w:t>
      </w:r>
      <w:r w:rsidR="00666159" w:rsidRPr="00900AF8">
        <w:t>lánok</w:t>
      </w:r>
      <w:r w:rsidRPr="00900AF8">
        <w:t xml:space="preserve"> </w:t>
      </w:r>
      <w:r w:rsidR="000519C7">
        <w:t>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4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07F83B2" w:rsidR="006639BF" w:rsidRPr="00900AF8" w:rsidRDefault="001E61BB" w:rsidP="00A022A6">
      <w:pPr>
        <w:pStyle w:val="Nadpis2"/>
      </w:pPr>
      <w:bookmarkStart w:id="5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5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530536A7" w:rsidR="009E790D" w:rsidRPr="00007360" w:rsidRDefault="00D20E07" w:rsidP="00686FE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 je</w:t>
      </w:r>
      <w:r w:rsidR="0006358F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86FEA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september 2026</w:t>
      </w:r>
      <w:r w:rsidR="0081753C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súvisia alebo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04D2148F" w:rsidR="006639BF" w:rsidRPr="00900AF8" w:rsidRDefault="009553B2" w:rsidP="00A022A6">
      <w:pPr>
        <w:pStyle w:val="Nadpis2"/>
      </w:pPr>
      <w:bookmarkStart w:id="6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6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6817FB10" w:rsidR="006639BF" w:rsidRPr="00900AF8" w:rsidRDefault="002B3583" w:rsidP="00A022A6">
      <w:pPr>
        <w:pStyle w:val="Nadpis2"/>
      </w:pPr>
      <w:bookmarkStart w:id="7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7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2853C769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0E37F184" w:rsidR="006639BF" w:rsidRPr="00900AF8" w:rsidRDefault="002B3583" w:rsidP="00A022A6">
      <w:pPr>
        <w:pStyle w:val="Nadpis2"/>
      </w:pPr>
      <w:bookmarkStart w:id="8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8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6C731586" w:rsidR="00172A41" w:rsidRPr="00900AF8" w:rsidRDefault="002B3583" w:rsidP="00A022A6">
      <w:pPr>
        <w:pStyle w:val="Nadpis2"/>
      </w:pPr>
      <w:bookmarkStart w:id="9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9"/>
      <w:r w:rsidR="00172A41" w:rsidRPr="00900AF8">
        <w:t xml:space="preserve">  </w:t>
      </w:r>
    </w:p>
    <w:p w14:paraId="1471BB0E" w14:textId="160D94B1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223D64D0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432899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2937C0F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6CAFE19E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F5C626B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9153EB2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1B21D046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172D5BFB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F3E61D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B46F67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4F2A9AF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6A7E323A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58DF0D21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59232771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5DAF670D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4436BC9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6A0AA60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0B6E4129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255D1705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522A443B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B5DBA36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712E79BC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AA0304F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692F58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E2AC7D5" w:rsidR="00172A41" w:rsidRPr="00900AF8" w:rsidRDefault="00172A41" w:rsidP="2853C769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lastRenderedPageBreak/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2E9EEEC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5822EF61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7A6CB2A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5BA888C6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2E9A8A3F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33174C10" w:rsidR="00581B4A" w:rsidRPr="00900AF8" w:rsidRDefault="002B3583" w:rsidP="00A022A6">
      <w:pPr>
        <w:pStyle w:val="Nadpis2"/>
      </w:pPr>
      <w:bookmarkStart w:id="10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0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lastRenderedPageBreak/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F934C4A" w:rsidR="006639BF" w:rsidRPr="00900AF8" w:rsidRDefault="002B3583" w:rsidP="00A022A6">
      <w:pPr>
        <w:pStyle w:val="Nadpis2"/>
      </w:pPr>
      <w:bookmarkStart w:id="11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1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lastRenderedPageBreak/>
        <w:t>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lastRenderedPageBreak/>
        <w:t>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548A8BAA" w:rsidR="006639BF" w:rsidRPr="00900AF8" w:rsidRDefault="001E61BB" w:rsidP="00A022A6">
      <w:pPr>
        <w:pStyle w:val="Nadpis2"/>
      </w:pPr>
      <w:bookmarkStart w:id="12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2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lastRenderedPageBreak/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2853C769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3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42FBAA51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3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16458C34" w:rsidR="006639BF" w:rsidRPr="00900AF8" w:rsidRDefault="001E61BB" w:rsidP="00A022A6">
      <w:pPr>
        <w:pStyle w:val="Nadpis2"/>
      </w:pPr>
      <w:bookmarkStart w:id="14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4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v súlade so Zmluvou, súlad nárokovaných výdavkov a ostatných údajov predložených zo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lastRenderedPageBreak/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5DA2EF4B" w:rsidR="006639BF" w:rsidRPr="00900AF8" w:rsidRDefault="001E61BB" w:rsidP="00A022A6">
      <w:pPr>
        <w:pStyle w:val="Nadpis2"/>
      </w:pPr>
      <w:bookmarkStart w:id="15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1CAC6A16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A941B8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A941B8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49F3DAED" w:rsidR="006639BF" w:rsidRPr="00900AF8" w:rsidRDefault="001E61BB" w:rsidP="00A022A6">
      <w:pPr>
        <w:pStyle w:val="Nadpis2"/>
      </w:pPr>
      <w:bookmarkStart w:id="16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07A6B3A9" w:rsidR="00415BD3" w:rsidRPr="00900AF8" w:rsidRDefault="001E61BB" w:rsidP="00A022A6">
      <w:pPr>
        <w:pStyle w:val="Nadpis2"/>
      </w:pPr>
      <w:bookmarkStart w:id="17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1192F7" w:rsidR="006639BF" w:rsidRPr="00900AF8" w:rsidRDefault="001E61BB" w:rsidP="00A022A6">
      <w:pPr>
        <w:pStyle w:val="Nadpis2"/>
      </w:pPr>
      <w:bookmarkStart w:id="18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18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23BD47A7" w:rsidR="00B057B0" w:rsidRPr="00900AF8" w:rsidRDefault="00B057B0" w:rsidP="00012DA7">
      <w:pPr>
        <w:pStyle w:val="Nadpis2"/>
      </w:pPr>
      <w:bookmarkStart w:id="19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19"/>
      <w:proofErr w:type="spellEnd"/>
    </w:p>
    <w:p w14:paraId="304E816F" w14:textId="6F32F26D" w:rsidR="006639BF" w:rsidRPr="00900AF8" w:rsidRDefault="006639BF" w:rsidP="00012DA7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686FF74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5A41B422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33A799E1" w:rsidR="00B057B0" w:rsidRPr="00900AF8" w:rsidRDefault="0001780E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1AA86C55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="00B31177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pracovných dní odo dňa pripísania príslušnej platby na účet Prijímateľa, alebo odo dňa aktivácie evidenčného listu úprav rozpočtu potvrdzujúc</w:t>
      </w:r>
      <w:r w:rsidR="00B01002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1236205C" w:rsidR="00B057B0" w:rsidRPr="00056520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2DA9F892" w:rsidR="00B057B0" w:rsidRPr="00850BDD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1A509F3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489E1FE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8ACD84" w:rsidR="006639BF" w:rsidRDefault="003A1F46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718F998" w:rsidR="006639BF" w:rsidRPr="00900AF8" w:rsidRDefault="00CC6FD7" w:rsidP="00204CA9">
      <w:pPr>
        <w:pStyle w:val="Nadpis2"/>
      </w:pPr>
      <w:bookmarkStart w:id="20" w:name="_Toc92752262"/>
      <w:r w:rsidRPr="008E7CF3">
        <w:t>Článok 17b. Systém zálohových platieb</w:t>
      </w:r>
      <w:bookmarkEnd w:id="20"/>
    </w:p>
    <w:p w14:paraId="2A597ECE" w14:textId="10272D0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67666AB" w:rsidR="006D14E6" w:rsidRPr="006D14E6" w:rsidRDefault="00CC6FD7" w:rsidP="2853C76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2853C769">
        <w:rPr>
          <w:rFonts w:ascii="Arial Narrow" w:hAnsi="Arial Narrow"/>
        </w:rPr>
        <w:lastRenderedPageBreak/>
        <w:t>Prijímateľ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predkladá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Vykonávateľovi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ŽoP</w:t>
      </w:r>
      <w:proofErr w:type="spellEnd"/>
      <w:r w:rsidRPr="2853C769">
        <w:rPr>
          <w:rFonts w:ascii="Arial Narrow" w:hAnsi="Arial Narrow"/>
        </w:rPr>
        <w:t xml:space="preserve"> – </w:t>
      </w:r>
      <w:proofErr w:type="spellStart"/>
      <w:r w:rsidRPr="2853C769">
        <w:rPr>
          <w:rFonts w:ascii="Arial Narrow" w:hAnsi="Arial Narrow"/>
        </w:rPr>
        <w:t>poskytnutie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zálohovej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platby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maximálne</w:t>
      </w:r>
      <w:proofErr w:type="spellEnd"/>
      <w:r w:rsidRPr="2853C769">
        <w:rPr>
          <w:rFonts w:ascii="Arial Narrow" w:hAnsi="Arial Narrow"/>
        </w:rPr>
        <w:t xml:space="preserve"> do </w:t>
      </w:r>
      <w:proofErr w:type="spellStart"/>
      <w:r w:rsidRPr="2853C769">
        <w:rPr>
          <w:rFonts w:ascii="Arial Narrow" w:hAnsi="Arial Narrow"/>
        </w:rPr>
        <w:t>výšky</w:t>
      </w:r>
      <w:proofErr w:type="spellEnd"/>
      <w:r w:rsidRPr="2853C769">
        <w:rPr>
          <w:rFonts w:ascii="Arial Narrow" w:hAnsi="Arial Narrow"/>
        </w:rPr>
        <w:t xml:space="preserve"> </w:t>
      </w:r>
      <w:proofErr w:type="gramStart"/>
      <w:r w:rsidR="00303F83" w:rsidRPr="2853C769">
        <w:rPr>
          <w:rFonts w:ascii="Arial Narrow" w:hAnsi="Arial Narrow"/>
          <w:highlight w:val="yellow"/>
        </w:rPr>
        <w:t>....</w:t>
      </w:r>
      <w:r w:rsidRPr="2853C769">
        <w:rPr>
          <w:rFonts w:ascii="Arial Narrow" w:hAnsi="Arial Narrow"/>
        </w:rPr>
        <w:t>.</w:t>
      </w:r>
      <w:proofErr w:type="gramEnd"/>
      <w:r w:rsidRPr="2853C769">
        <w:rPr>
          <w:rFonts w:ascii="Arial Narrow" w:hAnsi="Arial Narrow"/>
        </w:rPr>
        <w:t xml:space="preserve"> </w:t>
      </w:r>
    </w:p>
    <w:p w14:paraId="4A1B961C" w14:textId="76870242" w:rsidR="00CC6FD7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2BFAEE0A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61A0B227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1C70953A" w:rsidR="00CC6FD7" w:rsidRPr="0093063C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2080036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0A4B8ED4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4E6D3E30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1523E0" w:rsidRPr="00303F83">
        <w:rPr>
          <w:rFonts w:ascii="Arial Narrow" w:hAnsi="Arial Narrow"/>
          <w:highlight w:val="yellow"/>
          <w:lang w:val="sk-SK"/>
        </w:rPr>
        <w:t>....</w:t>
      </w:r>
      <w:r w:rsidRPr="001523E0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dní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1D6B375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25E413F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</w:t>
      </w:r>
      <w:r w:rsidRPr="00900AF8">
        <w:rPr>
          <w:rFonts w:ascii="Arial Narrow" w:hAnsi="Arial Narrow"/>
          <w:lang w:val="sk-SK"/>
        </w:rPr>
        <w:lastRenderedPageBreak/>
        <w:t xml:space="preserve">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41ACFFDB" w:rsidR="006639BF" w:rsidRPr="008E7CF3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204CA9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3BACE80" w:rsidR="006C6414" w:rsidRPr="00900AF8" w:rsidRDefault="006C6414" w:rsidP="00A022A6">
      <w:pPr>
        <w:pStyle w:val="Nadpis2"/>
      </w:pPr>
      <w:bookmarkStart w:id="21" w:name="_Toc92752263"/>
      <w:r w:rsidRPr="008E7CF3">
        <w:t>Článok 17c. Systém refundácie</w:t>
      </w:r>
      <w:bookmarkEnd w:id="21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6F77E2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0F40" w14:textId="77777777" w:rsidR="00670E04" w:rsidRDefault="00670E04" w:rsidP="007F765E">
      <w:r>
        <w:separator/>
      </w:r>
    </w:p>
  </w:endnote>
  <w:endnote w:type="continuationSeparator" w:id="0">
    <w:p w14:paraId="5C0946A4" w14:textId="77777777" w:rsidR="00670E04" w:rsidRDefault="00670E04" w:rsidP="007F765E">
      <w:r>
        <w:continuationSeparator/>
      </w:r>
    </w:p>
  </w:endnote>
  <w:endnote w:type="continuationNotice" w:id="1">
    <w:p w14:paraId="5C944123" w14:textId="77777777" w:rsidR="00670E04" w:rsidRDefault="0067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885BBF1" w:rsidR="00C65B1A" w:rsidRPr="007F765E" w:rsidRDefault="00C65B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851070" w:rsidRPr="00851070">
          <w:rPr>
            <w:rFonts w:ascii="Arial Narrow" w:hAnsi="Arial Narrow"/>
            <w:noProof/>
            <w:sz w:val="22"/>
            <w:lang w:val="sk-SK"/>
          </w:rPr>
          <w:t>31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C65B1A" w:rsidRDefault="00C65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7ABA" w14:textId="77777777" w:rsidR="00670E04" w:rsidRDefault="00670E04" w:rsidP="007F765E">
      <w:r>
        <w:separator/>
      </w:r>
    </w:p>
  </w:footnote>
  <w:footnote w:type="continuationSeparator" w:id="0">
    <w:p w14:paraId="4499EF68" w14:textId="77777777" w:rsidR="00670E04" w:rsidRDefault="00670E04" w:rsidP="007F765E">
      <w:r>
        <w:continuationSeparator/>
      </w:r>
    </w:p>
  </w:footnote>
  <w:footnote w:type="continuationNotice" w:id="1">
    <w:p w14:paraId="7E6854C5" w14:textId="77777777" w:rsidR="00670E04" w:rsidRDefault="0067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AE4C" w14:textId="0991FB69" w:rsidR="00E15BDB" w:rsidRPr="00E15BDB" w:rsidRDefault="00E15BDB" w:rsidP="00E15BDB">
    <w:pPr>
      <w:pStyle w:val="Hlavika"/>
      <w:rPr>
        <w:lang w:val="sk-SK"/>
      </w:rPr>
    </w:pPr>
    <w:r w:rsidRPr="00E15BDB">
      <w:rPr>
        <w:noProof/>
        <w:lang w:val="sk-SK"/>
      </w:rPr>
      <w:drawing>
        <wp:inline distT="0" distB="0" distL="0" distR="0" wp14:anchorId="2489CC55" wp14:editId="39443AD6">
          <wp:extent cx="5760720" cy="610870"/>
          <wp:effectExtent l="0" t="0" r="0" b="0"/>
          <wp:docPr id="189249350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9DF74" w14:textId="77777777" w:rsidR="00E15BDB" w:rsidRDefault="00E15B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9015">
    <w:abstractNumId w:val="5"/>
  </w:num>
  <w:num w:numId="2" w16cid:durableId="1349719960">
    <w:abstractNumId w:val="44"/>
  </w:num>
  <w:num w:numId="3" w16cid:durableId="1387801188">
    <w:abstractNumId w:val="21"/>
  </w:num>
  <w:num w:numId="4" w16cid:durableId="1309704066">
    <w:abstractNumId w:val="36"/>
  </w:num>
  <w:num w:numId="5" w16cid:durableId="972562512">
    <w:abstractNumId w:val="24"/>
  </w:num>
  <w:num w:numId="6" w16cid:durableId="1436444099">
    <w:abstractNumId w:val="27"/>
  </w:num>
  <w:num w:numId="7" w16cid:durableId="2082439061">
    <w:abstractNumId w:val="13"/>
  </w:num>
  <w:num w:numId="8" w16cid:durableId="2085104019">
    <w:abstractNumId w:val="9"/>
  </w:num>
  <w:num w:numId="9" w16cid:durableId="65765101">
    <w:abstractNumId w:val="17"/>
  </w:num>
  <w:num w:numId="10" w16cid:durableId="1185707165">
    <w:abstractNumId w:val="11"/>
  </w:num>
  <w:num w:numId="11" w16cid:durableId="998655039">
    <w:abstractNumId w:val="15"/>
  </w:num>
  <w:num w:numId="12" w16cid:durableId="1936593173">
    <w:abstractNumId w:val="22"/>
  </w:num>
  <w:num w:numId="13" w16cid:durableId="472911823">
    <w:abstractNumId w:val="0"/>
  </w:num>
  <w:num w:numId="14" w16cid:durableId="1125387436">
    <w:abstractNumId w:val="38"/>
  </w:num>
  <w:num w:numId="15" w16cid:durableId="1309869369">
    <w:abstractNumId w:val="43"/>
  </w:num>
  <w:num w:numId="16" w16cid:durableId="466511853">
    <w:abstractNumId w:val="26"/>
  </w:num>
  <w:num w:numId="17" w16cid:durableId="426388792">
    <w:abstractNumId w:val="28"/>
  </w:num>
  <w:num w:numId="18" w16cid:durableId="1642687950">
    <w:abstractNumId w:val="20"/>
  </w:num>
  <w:num w:numId="19" w16cid:durableId="610209828">
    <w:abstractNumId w:val="34"/>
  </w:num>
  <w:num w:numId="20" w16cid:durableId="1052273562">
    <w:abstractNumId w:val="29"/>
  </w:num>
  <w:num w:numId="21" w16cid:durableId="1518888847">
    <w:abstractNumId w:val="4"/>
  </w:num>
  <w:num w:numId="22" w16cid:durableId="2066104553">
    <w:abstractNumId w:val="14"/>
  </w:num>
  <w:num w:numId="23" w16cid:durableId="1091849061">
    <w:abstractNumId w:val="3"/>
  </w:num>
  <w:num w:numId="24" w16cid:durableId="771975303">
    <w:abstractNumId w:val="31"/>
  </w:num>
  <w:num w:numId="25" w16cid:durableId="2031179701">
    <w:abstractNumId w:val="10"/>
  </w:num>
  <w:num w:numId="26" w16cid:durableId="923418872">
    <w:abstractNumId w:val="23"/>
  </w:num>
  <w:num w:numId="27" w16cid:durableId="274800133">
    <w:abstractNumId w:val="25"/>
  </w:num>
  <w:num w:numId="28" w16cid:durableId="600145451">
    <w:abstractNumId w:val="40"/>
  </w:num>
  <w:num w:numId="29" w16cid:durableId="16320194">
    <w:abstractNumId w:val="35"/>
  </w:num>
  <w:num w:numId="30" w16cid:durableId="1947808094">
    <w:abstractNumId w:val="39"/>
  </w:num>
  <w:num w:numId="31" w16cid:durableId="41590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393708">
    <w:abstractNumId w:val="33"/>
  </w:num>
  <w:num w:numId="33" w16cid:durableId="1829518452">
    <w:abstractNumId w:val="1"/>
  </w:num>
  <w:num w:numId="34" w16cid:durableId="157499905">
    <w:abstractNumId w:val="12"/>
  </w:num>
  <w:num w:numId="35" w16cid:durableId="564798377">
    <w:abstractNumId w:val="32"/>
  </w:num>
  <w:num w:numId="36" w16cid:durableId="536354453">
    <w:abstractNumId w:val="19"/>
  </w:num>
  <w:num w:numId="37" w16cid:durableId="983436525">
    <w:abstractNumId w:val="37"/>
  </w:num>
  <w:num w:numId="38" w16cid:durableId="803621208">
    <w:abstractNumId w:val="18"/>
  </w:num>
  <w:num w:numId="39" w16cid:durableId="759451625">
    <w:abstractNumId w:val="6"/>
  </w:num>
  <w:num w:numId="40" w16cid:durableId="1583174693">
    <w:abstractNumId w:val="30"/>
  </w:num>
  <w:num w:numId="41" w16cid:durableId="1568484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41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7069116">
    <w:abstractNumId w:val="41"/>
  </w:num>
  <w:num w:numId="44" w16cid:durableId="1847287032">
    <w:abstractNumId w:val="8"/>
  </w:num>
  <w:num w:numId="45" w16cid:durableId="444471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667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4398761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LO0MDMzMLQ0NjFV0lEKTi0uzszPAykwrQUAK87h2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360"/>
    <w:rsid w:val="0000789F"/>
    <w:rsid w:val="000101A5"/>
    <w:rsid w:val="00010B0C"/>
    <w:rsid w:val="00010F3E"/>
    <w:rsid w:val="00012DA7"/>
    <w:rsid w:val="00013622"/>
    <w:rsid w:val="0001370B"/>
    <w:rsid w:val="00015B2A"/>
    <w:rsid w:val="00016341"/>
    <w:rsid w:val="00016822"/>
    <w:rsid w:val="0001780E"/>
    <w:rsid w:val="00017D45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19C7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277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42C6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6285"/>
    <w:rsid w:val="001D74A1"/>
    <w:rsid w:val="001D7BBC"/>
    <w:rsid w:val="001E0D5E"/>
    <w:rsid w:val="001E60C3"/>
    <w:rsid w:val="001E61BB"/>
    <w:rsid w:val="001F0B18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4CA9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5114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3F74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2243"/>
    <w:rsid w:val="002D4372"/>
    <w:rsid w:val="002D51C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42BA"/>
    <w:rsid w:val="00325B13"/>
    <w:rsid w:val="00326827"/>
    <w:rsid w:val="00327F4C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6D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0D40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AC6"/>
    <w:rsid w:val="00447ED0"/>
    <w:rsid w:val="004502B5"/>
    <w:rsid w:val="004535FF"/>
    <w:rsid w:val="0045361C"/>
    <w:rsid w:val="00454835"/>
    <w:rsid w:val="00455846"/>
    <w:rsid w:val="0045669B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5AA7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8A4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6D42"/>
    <w:rsid w:val="0066795E"/>
    <w:rsid w:val="00670E04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6FEA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2393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7E2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C7919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1070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C2E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1EF9"/>
    <w:rsid w:val="008F3212"/>
    <w:rsid w:val="008F3916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3D2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97018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17149"/>
    <w:rsid w:val="00A2024E"/>
    <w:rsid w:val="00A212F5"/>
    <w:rsid w:val="00A21DCC"/>
    <w:rsid w:val="00A232FF"/>
    <w:rsid w:val="00A23554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85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1EA"/>
    <w:rsid w:val="00A867F4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41B8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1963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1FC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CD5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1F1F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6513"/>
    <w:rsid w:val="00BF70CD"/>
    <w:rsid w:val="00C0028B"/>
    <w:rsid w:val="00C00ED3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26FE4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1A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25D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25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4DBA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5BDB"/>
    <w:rsid w:val="00E17352"/>
    <w:rsid w:val="00E17762"/>
    <w:rsid w:val="00E20612"/>
    <w:rsid w:val="00E22E4E"/>
    <w:rsid w:val="00E24111"/>
    <w:rsid w:val="00E2454D"/>
    <w:rsid w:val="00E2602D"/>
    <w:rsid w:val="00E264B8"/>
    <w:rsid w:val="00E26FB3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0499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6D59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0961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5CEE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7E7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1CE2598"/>
    <w:rsid w:val="13640677"/>
    <w:rsid w:val="1370A1C3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1F5D594B"/>
    <w:rsid w:val="20906CA4"/>
    <w:rsid w:val="20950AEA"/>
    <w:rsid w:val="2192D3A5"/>
    <w:rsid w:val="255B3678"/>
    <w:rsid w:val="272D6294"/>
    <w:rsid w:val="2853C769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1EBE6E5"/>
    <w:rsid w:val="451B2BFF"/>
    <w:rsid w:val="458D35C1"/>
    <w:rsid w:val="46A8078C"/>
    <w:rsid w:val="47B418CF"/>
    <w:rsid w:val="49A21745"/>
    <w:rsid w:val="4AEBAE64"/>
    <w:rsid w:val="4BD63BC1"/>
    <w:rsid w:val="4D46DC24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8F4E0DC"/>
    <w:rsid w:val="69A95C68"/>
    <w:rsid w:val="6BD31B56"/>
    <w:rsid w:val="6C5C1F4E"/>
    <w:rsid w:val="6DE35817"/>
    <w:rsid w:val="6E327999"/>
    <w:rsid w:val="6EEE56D7"/>
    <w:rsid w:val="6F322E75"/>
    <w:rsid w:val="70126726"/>
    <w:rsid w:val="709C4746"/>
    <w:rsid w:val="72EF1F3F"/>
    <w:rsid w:val="732F0A87"/>
    <w:rsid w:val="759729F8"/>
    <w:rsid w:val="773D30BB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D9DAD743-B752-4537-B921-ECFABB3D6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31628E0-740F-4159-A147-211C23DF7A42}"/>
</file>

<file path=customXml/itemProps4.xml><?xml version="1.0" encoding="utf-8"?>
<ds:datastoreItem xmlns:ds="http://schemas.openxmlformats.org/officeDocument/2006/customXml" ds:itemID="{70E49509-8C23-4364-B620-BC2BE2037F5E}"/>
</file>

<file path=customXml/itemProps5.xml><?xml version="1.0" encoding="utf-8"?>
<ds:datastoreItem xmlns:ds="http://schemas.openxmlformats.org/officeDocument/2006/customXml" ds:itemID="{EC42D64A-F0EA-4880-854F-18151AA28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19669</Words>
  <Characters>112115</Characters>
  <Application>Microsoft Office Word</Application>
  <DocSecurity>0</DocSecurity>
  <Lines>934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131521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2025-01-10T10:23:00Z</dcterms:created>
  <dcterms:modified xsi:type="dcterms:W3CDTF">2025-01-10T10:23:00Z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