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Pr="0040120E">
              <w:rPr>
                <w:rStyle w:val="Hypertextovprepojenie"/>
                <w:noProof/>
              </w:rPr>
              <w:t>Článok 2. VŠEOBECNÉ POVINNOSTI ZMLUVNÝCH STRÁN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Pr="0040120E">
              <w:rPr>
                <w:rStyle w:val="Hypertextovprepojenie"/>
                <w:noProof/>
              </w:rPr>
              <w:t>Článok 3. VEREJNÉ OBSTARÁVANIE SLUŽIEB PRIJÍMATEĽOM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Pr="0040120E">
              <w:rPr>
                <w:rStyle w:val="Hypertextovprepojenie"/>
                <w:noProof/>
              </w:rPr>
              <w:t>Článok 4. OPRÁVNENÉ VÝDAVKY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Pr="0040120E">
              <w:rPr>
                <w:rStyle w:val="Hypertextovprepojenie"/>
                <w:noProof/>
              </w:rPr>
              <w:t>Článok 5. MONITOROVANIE PROJEKTU A POSKYTOVANIE INFORMÁCIÍ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Pr="0040120E">
              <w:rPr>
                <w:rStyle w:val="Hypertextovprepojenie"/>
                <w:noProof/>
              </w:rPr>
              <w:t>Článok 6. INFORMOVANOSŤ, KOMUNIKÁCIA A VIDITEĽNOSŤ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Pr="0040120E">
              <w:rPr>
                <w:rStyle w:val="Hypertextovprepojenie"/>
                <w:noProof/>
              </w:rPr>
              <w:t>Článok 7. VLASTNÍCTVO A POUŽITIE VÝSTUPOV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Pr="0040120E">
              <w:rPr>
                <w:rStyle w:val="Hypertextovprepojenie"/>
                <w:noProof/>
              </w:rPr>
              <w:t>Článok 8. PREVOD A PRECHOD PRÁV A POVINNOSTÍ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Pr="0040120E">
              <w:rPr>
                <w:rStyle w:val="Hypertextovprepojenie"/>
                <w:noProof/>
              </w:rPr>
              <w:t>Článok 9. REALIZÁCIA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Pr="0040120E">
              <w:rPr>
                <w:rStyle w:val="Hypertextovprepojenie"/>
                <w:noProof/>
              </w:rPr>
              <w:t>Článok 10. ZMENA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Pr="0040120E">
              <w:rPr>
                <w:rStyle w:val="Hypertextovprepojenie"/>
                <w:noProof/>
              </w:rPr>
              <w:t>Článok 11. UKONČENIE ZMLUVY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Pr="0040120E">
              <w:rPr>
                <w:rStyle w:val="Hypertextovprepojenie"/>
                <w:noProof/>
              </w:rPr>
              <w:t>Článok 13. KONTROLA A AUDIT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Pr="0040120E">
              <w:rPr>
                <w:rStyle w:val="Hypertextovprepojenie"/>
                <w:noProof/>
              </w:rPr>
              <w:t>Článok 14. VYSPORIADANIE FINANČNÝCH VZŤAHOV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Pr="0040120E">
              <w:rPr>
                <w:rStyle w:val="Hypertextovprepojenie"/>
                <w:noProof/>
              </w:rPr>
              <w:t>Článok 15. MENY A KURZOVÉ ROZDIELY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Pr="0040120E">
              <w:rPr>
                <w:rStyle w:val="Hypertextovprepojenie"/>
                <w:noProof/>
              </w:rPr>
              <w:t>Článok 16. ÚČTY PRIJÍMATEĽA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Pr="0040120E">
              <w:rPr>
                <w:rStyle w:val="Hypertextovprepojenie"/>
                <w:noProof/>
              </w:rPr>
              <w:t>Článok 17. PLATBY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Pr="0040120E">
              <w:rPr>
                <w:rStyle w:val="Hypertextovprepojenie"/>
                <w:noProof/>
              </w:rPr>
              <w:t>Článok 17a. Systém predfinancovania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Pr="0040120E">
              <w:rPr>
                <w:rStyle w:val="Hypertextovprepojenie"/>
                <w:noProof/>
              </w:rPr>
              <w:t>Článok 17b. Systém zálohových platieb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D92A5E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Pr="0040120E">
              <w:rPr>
                <w:rStyle w:val="Hypertextovprepojenie"/>
                <w:noProof/>
              </w:rPr>
              <w:t>Článok 17c. Systém refundácie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_Toc137822386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69516ADC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nariadenie Komisie (EÚ) 2023/2831 z 13. decembra 2023 o uplatňovaní článkov 107 a 108 Zmluvy o fungovaní Európskej únie na pomoc de </w:t>
      </w:r>
      <w:proofErr w:type="spellStart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minimis</w:t>
      </w:r>
      <w:proofErr w:type="spellEnd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zverejneného v Úradnom vestníku dňa 15. decembra 2023 (Ú. v. ES L 2831 15.12.2023)</w:t>
      </w:r>
      <w:r w:rsid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</w:t>
      </w:r>
      <w:proofErr w:type="spellEnd"/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xiv.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návrhu postupov 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374CB3BE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</w:t>
      </w:r>
      <w:proofErr w:type="spellStart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7C2D0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</w:t>
      </w:r>
      <w:r w:rsid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2023/2831 z 13. decembra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2023 o uplatňovaní článkov 107 a 108 Zmluvy o fungovaní Európskej únie na pomoc de </w:t>
      </w:r>
      <w:proofErr w:type="spellStart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zverejneného v Úradnom vestníku dňa 15. decembra 2023 (Ú. v. ES L 2831 15.12.2023)</w:t>
      </w:r>
      <w:r w:rsidR="00A91F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 xml:space="preserve">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prestane spĺňať podmienky poskytnutia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 xml:space="preserve">pomoci de </w:t>
      </w:r>
      <w:proofErr w:type="spellStart"/>
      <w:r w:rsidR="008D2AA6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Overenie dodržania pravidiel, postupov a princípov výberu Dodávateľa Prijímateľom vykonáva Vykonávateľ spravidla v rámci administratívnej finančnej kontroly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, ak Vykonávateľ neurčí, že požaduje predloženie dokumentácie k výberu Dodávateľa ešte pred predložením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Vykonávateľ je oprávnený vykonať overenie dodržania pravidiel, postupov a princípov výberu Dodávateľa Prijímateľom aj v rámci osobitnej kontroly mimo administratívnej finančnej kontroly </w:t>
      </w:r>
      <w:proofErr w:type="spellStart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</w:t>
      </w:r>
      <w:proofErr w:type="spellStart"/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</w:t>
      </w:r>
      <w:proofErr w:type="spellStart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667CD28D" w:rsidR="006639BF" w:rsidRDefault="001E61BB" w:rsidP="00914B2A">
      <w:pPr>
        <w:pStyle w:val="Nadpis2"/>
      </w:pPr>
      <w:bookmarkStart w:id="10" w:name="_Toc92752248"/>
      <w:bookmarkStart w:id="11" w:name="_Toc137822371"/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</w:t>
      </w:r>
      <w:r w:rsidRPr="00A71ACE">
        <w:rPr>
          <w:rFonts w:ascii="Arial Narrow" w:hAnsi="Arial Narrow"/>
          <w:lang w:val="sk-SK"/>
        </w:rPr>
        <w:lastRenderedPageBreak/>
        <w:t>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zabezpečí uvedenie emblému EÚ s nápisom „Financovaný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 xml:space="preserve">“/„Financované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>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4" w:name="_Toc92752250"/>
      <w:bookmarkStart w:id="15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4"/>
      <w:bookmarkEnd w:id="15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, a týmto zároveň udeľuje Vykonávateľovi a príslušným orgánom SR a EÚ právo na použitie </w:t>
      </w:r>
      <w:r w:rsidRPr="002D7974">
        <w:rPr>
          <w:rFonts w:ascii="Arial Narrow" w:hAnsi="Arial Narrow"/>
          <w:sz w:val="22"/>
          <w:szCs w:val="22"/>
          <w:lang w:val="sk-SK"/>
        </w:rPr>
        <w:lastRenderedPageBreak/>
        <w:t>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16" w:name="_Toc92752251"/>
      <w:bookmarkStart w:id="17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6"/>
      <w:bookmarkEnd w:id="17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8" w:name="_Toc92752252"/>
      <w:bookmarkStart w:id="19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8"/>
      <w:bookmarkEnd w:id="19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0" w:name="_Toc92752253"/>
      <w:bookmarkStart w:id="21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0"/>
      <w:bookmarkEnd w:id="21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2" w:name="_Toc92752254"/>
      <w:bookmarkStart w:id="23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2"/>
      <w:bookmarkEnd w:id="23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</w:t>
      </w:r>
      <w:proofErr w:type="spellStart"/>
      <w:r w:rsidR="00CD48A1">
        <w:rPr>
          <w:rFonts w:ascii="Arial Narrow" w:eastAsia="Times New Roman" w:hAnsi="Arial Narrow" w:cs="Times New Roman"/>
          <w:lang w:val="sk-SK" w:eastAsia="sk-SK"/>
        </w:rPr>
        <w:t>ŽoP</w:t>
      </w:r>
      <w:proofErr w:type="spellEnd"/>
      <w:r w:rsidR="00CD48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lastRenderedPageBreak/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A71ACE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4" w:name="_Toc92752255"/>
      <w:bookmarkStart w:id="25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4"/>
      <w:bookmarkEnd w:id="25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6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6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27" w:name="_Toc92752256"/>
      <w:bookmarkStart w:id="28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27"/>
      <w:bookmarkEnd w:id="28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overenie dosiahnutého 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>súvisia 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29" w:name="_Toc92752257"/>
      <w:bookmarkStart w:id="30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29"/>
      <w:bookmarkEnd w:id="30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1" w:name="_Toc92752258"/>
      <w:bookmarkStart w:id="32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1"/>
      <w:bookmarkEnd w:id="32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</w:t>
      </w:r>
      <w:proofErr w:type="spellStart"/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3" w:name="_Toc92752259"/>
      <w:bookmarkStart w:id="34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3"/>
      <w:bookmarkEnd w:id="34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D6B9424" w14:textId="77777777" w:rsidR="009C5742" w:rsidRDefault="009C5742" w:rsidP="00914B2A">
      <w:pPr>
        <w:pStyle w:val="Nadpis2"/>
      </w:pPr>
      <w:bookmarkStart w:id="35" w:name="_Toc92752260"/>
      <w:bookmarkStart w:id="36" w:name="_Toc137822383"/>
    </w:p>
    <w:p w14:paraId="750969EA" w14:textId="3F41767E" w:rsidR="006639BF" w:rsidRPr="00A71ACE" w:rsidRDefault="001E61BB" w:rsidP="00914B2A">
      <w:pPr>
        <w:pStyle w:val="Nadpis2"/>
      </w:pPr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5"/>
      <w:bookmarkEnd w:id="36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lastRenderedPageBreak/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>súlade so Zmluvou. Prijímateľ zodpovedá za pravosť, správnosť a kompletnosť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>. Ak na základe nepravých alebo nesprávnych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37" w:name="_Toc92752261"/>
      <w:bookmarkStart w:id="38" w:name="_Toc137822384"/>
      <w:r w:rsidRPr="00A71ACE">
        <w:t>Článok 1</w:t>
      </w:r>
      <w:r w:rsidR="009C2B8D">
        <w:t>7</w:t>
      </w:r>
      <w:r w:rsidRPr="00A71ACE">
        <w:t xml:space="preserve">a. Systém </w:t>
      </w:r>
      <w:proofErr w:type="spellStart"/>
      <w:r w:rsidRPr="00A71ACE">
        <w:t>predfinancovania</w:t>
      </w:r>
      <w:bookmarkEnd w:id="37"/>
      <w:bookmarkEnd w:id="38"/>
      <w:proofErr w:type="spellEnd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39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39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0" w:name="_Toc137822386"/>
      <w:r w:rsidRPr="00A71ACE">
        <w:lastRenderedPageBreak/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0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Systémom refundácie sa Prostriedky mechanizmu poskytujú na Oprávnené výdavky Projektu na základe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A71ACE">
        <w:rPr>
          <w:rFonts w:ascii="Arial Narrow" w:hAnsi="Arial Narrow"/>
          <w:lang w:val="sk-SK"/>
        </w:rPr>
        <w:t>ŽoP</w:t>
      </w:r>
      <w:proofErr w:type="spellEnd"/>
      <w:r w:rsidR="00740C3C" w:rsidRPr="00A71ACE">
        <w:rPr>
          <w:rFonts w:ascii="Arial Narrow" w:hAnsi="Arial Narrow"/>
          <w:lang w:val="sk-SK"/>
        </w:rPr>
        <w:t xml:space="preserve">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516125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580B" w14:textId="77777777" w:rsidR="0070728C" w:rsidRDefault="0070728C" w:rsidP="007F765E">
      <w:r>
        <w:separator/>
      </w:r>
    </w:p>
  </w:endnote>
  <w:endnote w:type="continuationSeparator" w:id="0">
    <w:p w14:paraId="3E318934" w14:textId="77777777" w:rsidR="0070728C" w:rsidRDefault="0070728C" w:rsidP="007F765E">
      <w:r>
        <w:continuationSeparator/>
      </w:r>
    </w:p>
  </w:endnote>
  <w:endnote w:type="continuationNotice" w:id="1">
    <w:p w14:paraId="222C2409" w14:textId="77777777" w:rsidR="0070728C" w:rsidRDefault="00707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FE01" w14:textId="77777777" w:rsidR="0070728C" w:rsidRDefault="0070728C" w:rsidP="007F765E">
      <w:r>
        <w:separator/>
      </w:r>
    </w:p>
  </w:footnote>
  <w:footnote w:type="continuationSeparator" w:id="0">
    <w:p w14:paraId="33BD64B0" w14:textId="77777777" w:rsidR="0070728C" w:rsidRDefault="0070728C" w:rsidP="007F765E">
      <w:r>
        <w:continuationSeparator/>
      </w:r>
    </w:p>
  </w:footnote>
  <w:footnote w:type="continuationNotice" w:id="1">
    <w:p w14:paraId="579BF1A8" w14:textId="77777777" w:rsidR="0070728C" w:rsidRDefault="00707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729B" w14:textId="1377E8D2" w:rsidR="007221D2" w:rsidRDefault="003E3DB7" w:rsidP="002D1033">
    <w:pPr>
      <w:tabs>
        <w:tab w:val="center" w:pos="4536"/>
        <w:tab w:val="right" w:pos="9072"/>
      </w:tabs>
      <w:ind w:left="-284"/>
      <w:rPr>
        <w:rFonts w:eastAsiaTheme="minorHAnsi"/>
        <w:lang w:val="sk-SK" w:eastAsia="en-US"/>
      </w:rPr>
      <w:pPrChange w:id="41" w:author="Autor">
        <w:pPr>
          <w:tabs>
            <w:tab w:val="center" w:pos="4536"/>
            <w:tab w:val="right" w:pos="9072"/>
          </w:tabs>
        </w:pPr>
      </w:pPrChange>
    </w:pPr>
    <w:ins w:id="42" w:author="Autor">
      <w:r>
        <w:rPr>
          <w:rFonts w:eastAsiaTheme="minorHAnsi"/>
          <w:noProof/>
          <w:lang w:val="sk-SK" w:eastAsia="en-US"/>
        </w:rPr>
        <w:drawing>
          <wp:inline distT="0" distB="0" distL="0" distR="0" wp14:anchorId="7A2B8E70" wp14:editId="1D57AC58">
            <wp:extent cx="6353154" cy="715010"/>
            <wp:effectExtent l="0" t="0" r="0" b="8890"/>
            <wp:docPr id="41859112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91120" name="Obrázok 41859112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527" cy="71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634FA8E2" w14:textId="77777777" w:rsidR="007221D2" w:rsidRDefault="007221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033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2AF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3DB7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023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5C9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28C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2D0A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562F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5D51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223C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377F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5742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6E1A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59E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37051"/>
    <w:rsid w:val="00C40DC2"/>
    <w:rsid w:val="00C410A1"/>
    <w:rsid w:val="00C410F5"/>
    <w:rsid w:val="00C41312"/>
    <w:rsid w:val="00C41976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3D38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241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6619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53A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54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A5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2D3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4F43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B5363-F31B-4912-9C03-024351D56DE3}"/>
</file>

<file path=customXml/itemProps4.xml><?xml version="1.0" encoding="utf-8"?>
<ds:datastoreItem xmlns:ds="http://schemas.openxmlformats.org/officeDocument/2006/customXml" ds:itemID="{C3EACB41-0A43-4543-840E-0F1D2A46E418}"/>
</file>

<file path=customXml/itemProps5.xml><?xml version="1.0" encoding="utf-8"?>
<ds:datastoreItem xmlns:ds="http://schemas.openxmlformats.org/officeDocument/2006/customXml" ds:itemID="{223EE701-B5DC-4D95-AC3C-13C2E39DF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11979</Words>
  <Characters>68281</Characters>
  <Application>Microsoft Office Word</Application>
  <DocSecurity>0</DocSecurity>
  <Lines>569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2025-01-13T14:02:00Z</dcterms:created>
  <dcterms:modified xsi:type="dcterms:W3CDTF">2025-01-13T14:03:00Z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