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5B2D898A" w:rsidR="008900AE" w:rsidRPr="00023BFD" w:rsidRDefault="008900AE" w:rsidP="00337773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A7F0D">
        <w:rPr>
          <w:rFonts w:ascii="Arial Narrow" w:hAnsi="Arial Narrow"/>
          <w:b/>
          <w:sz w:val="22"/>
          <w:szCs w:val="22"/>
        </w:rPr>
        <w:t>Úrad podpredsedu vlády</w:t>
      </w:r>
      <w:r w:rsidR="00260DFE">
        <w:rPr>
          <w:rFonts w:ascii="Arial Narrow" w:hAnsi="Arial Narrow"/>
          <w:b/>
          <w:sz w:val="22"/>
          <w:szCs w:val="22"/>
        </w:rPr>
        <w:t xml:space="preserve"> Slovenskej republiky pre Plán obnovy a znalostnú ekonomiku </w:t>
      </w:r>
    </w:p>
    <w:p w14:paraId="2223490B" w14:textId="5C5B3D9C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260DFE" w:rsidRPr="00260DFE">
        <w:rPr>
          <w:rFonts w:ascii="Arial Narrow" w:hAnsi="Arial Narrow"/>
          <w:sz w:val="22"/>
          <w:szCs w:val="22"/>
          <w:lang w:eastAsia="cs-CZ"/>
        </w:rPr>
        <w:t>Tomášikova 14366/64A, 831 04  Bratislava</w:t>
      </w:r>
      <w:r w:rsidR="00260DF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6546958C" w14:textId="33577917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260DFE" w:rsidRPr="00260DFE">
        <w:rPr>
          <w:rFonts w:ascii="Arial Narrow" w:hAnsi="Arial Narrow"/>
          <w:sz w:val="22"/>
          <w:szCs w:val="22"/>
          <w:lang w:eastAsia="cs-CZ"/>
        </w:rPr>
        <w:t>56</w:t>
      </w:r>
      <w:r w:rsidR="00260DFE">
        <w:rPr>
          <w:rFonts w:ascii="Arial Narrow" w:hAnsi="Arial Narrow"/>
          <w:sz w:val="22"/>
          <w:szCs w:val="22"/>
          <w:lang w:eastAsia="cs-CZ"/>
        </w:rPr>
        <w:t> </w:t>
      </w:r>
      <w:r w:rsidR="00260DFE" w:rsidRPr="00260DFE">
        <w:rPr>
          <w:rFonts w:ascii="Arial Narrow" w:hAnsi="Arial Narrow"/>
          <w:sz w:val="22"/>
          <w:szCs w:val="22"/>
          <w:lang w:eastAsia="cs-CZ"/>
        </w:rPr>
        <w:t>565</w:t>
      </w:r>
      <w:r w:rsidR="00260DFE">
        <w:rPr>
          <w:rFonts w:ascii="Arial Narrow" w:hAnsi="Arial Narrow"/>
          <w:sz w:val="22"/>
          <w:szCs w:val="22"/>
          <w:lang w:eastAsia="cs-CZ"/>
        </w:rPr>
        <w:t> </w:t>
      </w:r>
      <w:r w:rsidR="00260DFE" w:rsidRPr="00260DFE">
        <w:rPr>
          <w:rFonts w:ascii="Arial Narrow" w:hAnsi="Arial Narrow"/>
          <w:sz w:val="22"/>
          <w:szCs w:val="22"/>
          <w:lang w:eastAsia="cs-CZ"/>
        </w:rPr>
        <w:t>321</w:t>
      </w:r>
      <w:r w:rsidR="00260DF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3DCD4504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260DFE" w:rsidRPr="00260DFE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260DFE" w:rsidRPr="00260DFE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260DFE" w:rsidRPr="00260DFE">
        <w:rPr>
          <w:rFonts w:ascii="Arial Narrow" w:hAnsi="Arial Narrow"/>
          <w:sz w:val="22"/>
          <w:szCs w:val="22"/>
          <w:lang w:eastAsia="cs-CZ"/>
        </w:rPr>
        <w:t>, MBA, vedúci úradu</w:t>
      </w:r>
      <w:r w:rsidR="00260DF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A7F0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3A5241F2" w:rsidR="008900AE" w:rsidRPr="00023BFD" w:rsidRDefault="008900AE" w:rsidP="00BE068B">
      <w:pPr>
        <w:tabs>
          <w:tab w:val="left" w:pos="993"/>
        </w:tabs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37773">
        <w:rPr>
          <w:rFonts w:ascii="Arial Narrow" w:hAnsi="Arial Narrow"/>
          <w:sz w:val="22"/>
          <w:szCs w:val="22"/>
        </w:rPr>
        <w:t xml:space="preserve">Mgr. </w:t>
      </w:r>
      <w:r w:rsidR="000A7F0D">
        <w:rPr>
          <w:rFonts w:ascii="Arial Narrow" w:hAnsi="Arial Narrow"/>
          <w:sz w:val="22"/>
          <w:szCs w:val="22"/>
        </w:rPr>
        <w:t xml:space="preserve">Ľubica Šimková, </w:t>
      </w:r>
      <w:r w:rsidR="000A7F0D" w:rsidRPr="00023BFD">
        <w:rPr>
          <w:rFonts w:ascii="Arial Narrow" w:hAnsi="Arial Narrow"/>
          <w:sz w:val="22"/>
          <w:szCs w:val="22"/>
        </w:rPr>
        <w:t>generáln</w:t>
      </w:r>
      <w:r w:rsidR="000A7F0D">
        <w:rPr>
          <w:rFonts w:ascii="Arial Narrow" w:hAnsi="Arial Narrow"/>
          <w:sz w:val="22"/>
          <w:szCs w:val="22"/>
        </w:rPr>
        <w:t>a</w:t>
      </w:r>
      <w:r w:rsidR="000A7F0D" w:rsidRPr="00023BFD">
        <w:rPr>
          <w:rFonts w:ascii="Arial Narrow" w:hAnsi="Arial Narrow"/>
          <w:sz w:val="22"/>
          <w:szCs w:val="22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</w:rPr>
        <w:t>riaditeľ</w:t>
      </w:r>
      <w:r w:rsidR="000A7F0D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A0C3D43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2EC7FED8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9D7C000" w14:textId="77777777" w:rsidR="009418C8" w:rsidRDefault="009418C8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lastRenderedPageBreak/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E0EA6D2" w:rsidR="008900AE" w:rsidRDefault="008900AE" w:rsidP="514EC1F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514EC1F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514EC1FF">
        <w:rPr>
          <w:rFonts w:ascii="Arial Narrow" w:hAnsi="Arial Narrow"/>
          <w:sz w:val="22"/>
          <w:szCs w:val="22"/>
        </w:rPr>
        <w:t xml:space="preserve"> ako aj</w:t>
      </w:r>
      <w:r w:rsidRPr="514EC1F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514EC1FF">
        <w:rPr>
          <w:rFonts w:ascii="Arial Narrow" w:hAnsi="Arial Narrow"/>
          <w:sz w:val="22"/>
          <w:szCs w:val="22"/>
        </w:rPr>
        <w:t xml:space="preserve"> výlučne osobami </w:t>
      </w:r>
      <w:r w:rsidR="007E4E0E" w:rsidRPr="514EC1F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514EC1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514EC1F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514EC1FF">
        <w:rPr>
          <w:rFonts w:ascii="Arial Narrow" w:hAnsi="Arial Narrow"/>
          <w:sz w:val="22"/>
          <w:szCs w:val="22"/>
        </w:rPr>
        <w:t xml:space="preserve"> </w:t>
      </w:r>
      <w:r w:rsidRPr="514EC1F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514EC1FF">
        <w:rPr>
          <w:rFonts w:ascii="Arial Narrow" w:hAnsi="Arial Narrow"/>
          <w:sz w:val="22"/>
          <w:szCs w:val="22"/>
        </w:rPr>
        <w:t>posudzovania</w:t>
      </w:r>
      <w:r w:rsidRPr="514EC1FF">
        <w:rPr>
          <w:rFonts w:ascii="Arial Narrow" w:hAnsi="Arial Narrow"/>
          <w:sz w:val="22"/>
          <w:szCs w:val="22"/>
        </w:rPr>
        <w:t xml:space="preserve">, riadenia, </w:t>
      </w:r>
      <w:r w:rsidR="00AE0AAE" w:rsidRPr="514EC1FF">
        <w:rPr>
          <w:rFonts w:ascii="Arial Narrow" w:hAnsi="Arial Narrow"/>
          <w:sz w:val="22"/>
          <w:szCs w:val="22"/>
        </w:rPr>
        <w:t xml:space="preserve">auditu, </w:t>
      </w:r>
      <w:r w:rsidRPr="514EC1FF">
        <w:rPr>
          <w:rFonts w:ascii="Arial Narrow" w:hAnsi="Arial Narrow"/>
          <w:sz w:val="22"/>
          <w:szCs w:val="22"/>
        </w:rPr>
        <w:t>monitorovania a</w:t>
      </w:r>
      <w:r w:rsidR="00CC0939" w:rsidRPr="514EC1FF">
        <w:rPr>
          <w:rFonts w:ascii="Arial Narrow" w:hAnsi="Arial Narrow"/>
          <w:sz w:val="22"/>
          <w:szCs w:val="22"/>
        </w:rPr>
        <w:t> </w:t>
      </w:r>
      <w:r w:rsidRPr="514EC1FF">
        <w:rPr>
          <w:rFonts w:ascii="Arial Narrow" w:hAnsi="Arial Narrow"/>
          <w:sz w:val="22"/>
          <w:szCs w:val="22"/>
        </w:rPr>
        <w:t>kontroly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posúdenej</w:t>
      </w:r>
      <w:r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514EC1FF">
        <w:rPr>
          <w:rFonts w:ascii="Arial Narrow" w:hAnsi="Arial Narrow"/>
          <w:sz w:val="22"/>
          <w:szCs w:val="22"/>
        </w:rPr>
        <w:t xml:space="preserve"> a/alebo </w:t>
      </w:r>
      <w:r w:rsidRPr="514EC1FF">
        <w:rPr>
          <w:rFonts w:ascii="Arial Narrow" w:hAnsi="Arial Narrow"/>
          <w:b/>
          <w:bCs/>
          <w:sz w:val="22"/>
          <w:szCs w:val="22"/>
        </w:rPr>
        <w:t>Projektu</w:t>
      </w:r>
      <w:r w:rsidRPr="514EC1F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514EC1FF">
        <w:rPr>
          <w:rFonts w:ascii="Arial Narrow" w:hAnsi="Arial Narrow"/>
          <w:sz w:val="22"/>
          <w:szCs w:val="22"/>
        </w:rPr>
        <w:t>ami</w:t>
      </w:r>
      <w:r w:rsidRPr="514EC1FF">
        <w:rPr>
          <w:rFonts w:ascii="Arial Narrow" w:hAnsi="Arial Narrow"/>
          <w:sz w:val="22"/>
          <w:szCs w:val="22"/>
        </w:rPr>
        <w:t>.</w:t>
      </w:r>
      <w:r w:rsidR="00ED02D9" w:rsidRPr="514EC1FF">
        <w:rPr>
          <w:rFonts w:ascii="Arial Narrow" w:hAnsi="Arial Narrow"/>
          <w:sz w:val="22"/>
          <w:szCs w:val="22"/>
        </w:rPr>
        <w:t xml:space="preserve"> </w:t>
      </w:r>
      <w:r w:rsidR="00ED02D9" w:rsidRPr="514EC1F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514EC1F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514EC1FF">
        <w:rPr>
          <w:rFonts w:ascii="Arial Narrow" w:hAnsi="Arial Narrow"/>
          <w:sz w:val="22"/>
          <w:szCs w:val="22"/>
        </w:rPr>
        <w:t> </w:t>
      </w:r>
      <w:r w:rsidR="00ED02D9" w:rsidRPr="514EC1FF">
        <w:rPr>
          <w:rFonts w:ascii="Arial Narrow" w:hAnsi="Arial Narrow"/>
          <w:sz w:val="22"/>
          <w:szCs w:val="22"/>
        </w:rPr>
        <w:t>súhlasí</w:t>
      </w:r>
      <w:r w:rsidR="00C17457" w:rsidRPr="514EC1F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514EC1FF">
        <w:rPr>
          <w:rFonts w:ascii="Arial Narrow" w:hAnsi="Arial Narrow"/>
          <w:sz w:val="22"/>
          <w:szCs w:val="22"/>
        </w:rPr>
        <w:t xml:space="preserve">, vrátane </w:t>
      </w:r>
      <w:r w:rsidR="00D5422A" w:rsidRPr="514EC1FF">
        <w:rPr>
          <w:rFonts w:ascii="Arial Narrow" w:hAnsi="Arial Narrow"/>
          <w:sz w:val="22"/>
          <w:szCs w:val="22"/>
        </w:rPr>
        <w:t>osobných údajov</w:t>
      </w:r>
      <w:r w:rsidR="000805D5" w:rsidRPr="514EC1FF">
        <w:rPr>
          <w:rFonts w:ascii="Arial Narrow" w:hAnsi="Arial Narrow"/>
          <w:sz w:val="22"/>
          <w:szCs w:val="22"/>
        </w:rPr>
        <w:t>,</w:t>
      </w:r>
      <w:r w:rsidR="00D5422A" w:rsidRPr="514EC1FF">
        <w:rPr>
          <w:rFonts w:ascii="Arial Narrow" w:hAnsi="Arial Narrow"/>
          <w:sz w:val="22"/>
          <w:szCs w:val="22"/>
        </w:rPr>
        <w:t xml:space="preserve"> o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514EC1FF">
        <w:rPr>
          <w:rFonts w:ascii="Arial Narrow" w:hAnsi="Arial Narrow"/>
          <w:sz w:val="22"/>
          <w:szCs w:val="22"/>
        </w:rPr>
        <w:t xml:space="preserve"> a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514EC1FF">
        <w:rPr>
          <w:rFonts w:ascii="Arial Narrow" w:hAnsi="Arial Narrow"/>
          <w:sz w:val="22"/>
          <w:szCs w:val="22"/>
        </w:rPr>
        <w:t>v nevyhnutnom rozsahu na účely</w:t>
      </w:r>
      <w:r w:rsidR="00C17457" w:rsidRPr="514EC1FF">
        <w:rPr>
          <w:rFonts w:ascii="Arial Narrow" w:hAnsi="Arial Narrow"/>
          <w:sz w:val="22"/>
          <w:szCs w:val="22"/>
        </w:rPr>
        <w:t> zoznam</w:t>
      </w:r>
      <w:r w:rsidR="00D5422A" w:rsidRPr="514EC1FF">
        <w:rPr>
          <w:rFonts w:ascii="Arial Narrow" w:hAnsi="Arial Narrow"/>
          <w:sz w:val="22"/>
          <w:szCs w:val="22"/>
        </w:rPr>
        <w:t>u</w:t>
      </w:r>
      <w:r w:rsidR="00C17457" w:rsidRPr="514EC1F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514EC1F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9C9F83A" w:rsidRPr="514EC1FF">
        <w:rPr>
          <w:rFonts w:ascii="Arial Narrow" w:hAnsi="Arial Narrow"/>
          <w:sz w:val="22"/>
          <w:szCs w:val="22"/>
        </w:rPr>
        <w:t>8</w:t>
      </w:r>
      <w:r w:rsidR="00C17457" w:rsidRPr="514EC1FF">
        <w:rPr>
          <w:rFonts w:ascii="Arial Narrow" w:hAnsi="Arial Narrow"/>
          <w:sz w:val="22"/>
          <w:szCs w:val="22"/>
        </w:rPr>
        <w:t xml:space="preserve"> zákona o</w:t>
      </w:r>
      <w:r w:rsidR="00D5422A" w:rsidRPr="514EC1FF">
        <w:rPr>
          <w:rFonts w:ascii="Arial Narrow" w:hAnsi="Arial Narrow"/>
          <w:sz w:val="22"/>
          <w:szCs w:val="22"/>
        </w:rPr>
        <w:t> </w:t>
      </w:r>
      <w:r w:rsidR="00C17457" w:rsidRPr="514EC1FF">
        <w:rPr>
          <w:rFonts w:ascii="Arial Narrow" w:hAnsi="Arial Narrow"/>
          <w:sz w:val="22"/>
          <w:szCs w:val="22"/>
        </w:rPr>
        <w:t>mechanizme</w:t>
      </w:r>
      <w:r w:rsidR="003B0CA6" w:rsidRPr="514EC1FF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</w:t>
      </w:r>
      <w:r w:rsidR="00434ACA" w:rsidRPr="001734AF">
        <w:rPr>
          <w:rFonts w:ascii="Arial Narrow" w:hAnsi="Arial Narrow"/>
          <w:bCs/>
          <w:lang w:eastAsia="cs-CZ"/>
        </w:rPr>
        <w:lastRenderedPageBreak/>
        <w:t>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487F39DF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</w:t>
      </w:r>
      <w:r w:rsidR="008569BF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súlade</w:t>
      </w:r>
      <w:r w:rsidR="008569BF">
        <w:rPr>
          <w:rFonts w:ascii="Arial Narrow" w:hAnsi="Arial Narrow"/>
          <w:sz w:val="22"/>
          <w:szCs w:val="22"/>
        </w:rPr>
        <w:t xml:space="preserve"> </w:t>
      </w:r>
      <w:r w:rsidR="008569BF" w:rsidRPr="00D868E4">
        <w:rPr>
          <w:rFonts w:ascii="Arial Narrow" w:hAnsi="Arial Narrow"/>
          <w:sz w:val="22"/>
          <w:szCs w:val="22"/>
        </w:rPr>
        <w:t>s</w:t>
      </w:r>
      <w:r w:rsidR="008569BF">
        <w:rPr>
          <w:rFonts w:ascii="Arial Narrow" w:hAnsi="Arial Narrow"/>
          <w:sz w:val="22"/>
          <w:szCs w:val="22"/>
        </w:rPr>
        <w:t xml:space="preserve"> nariadením Komisie (EÚ) 2023/2831 z 13. decembra 2023 o uplatňovaní článkov 107 a 108 Zmluvy o fungovaní Európskej únie na pomoc de </w:t>
      </w:r>
      <w:proofErr w:type="spellStart"/>
      <w:r w:rsidR="008569BF">
        <w:rPr>
          <w:rFonts w:ascii="Arial Narrow" w:hAnsi="Arial Narrow"/>
          <w:sz w:val="22"/>
          <w:szCs w:val="22"/>
        </w:rPr>
        <w:t>minimis</w:t>
      </w:r>
      <w:proofErr w:type="spellEnd"/>
      <w:r w:rsidR="008569BF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8569BF" w:rsidRPr="004F3A7A">
        <w:rPr>
          <w:rFonts w:ascii="Arial Narrow" w:hAnsi="Arial Narrow"/>
          <w:sz w:val="22"/>
          <w:szCs w:val="22"/>
        </w:rPr>
        <w:t>Ú. v. ES L 2831 15.12.2023)</w:t>
      </w:r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lastRenderedPageBreak/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Pr="00DF01DB">
        <w:rPr>
          <w:rFonts w:ascii="Arial Narrow" w:hAnsi="Arial Narrow"/>
          <w:sz w:val="22"/>
          <w:szCs w:val="22"/>
        </w:rPr>
        <w:lastRenderedPageBreak/>
        <w:t xml:space="preserve">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B8D2190" w:rsidR="008900AE" w:rsidRPr="00DF01DB" w:rsidRDefault="00742AB8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2AB8">
        <w:rPr>
          <w:rFonts w:ascii="Arial Narrow" w:hAnsi="Arial Narrow"/>
          <w:sz w:val="22"/>
          <w:szCs w:val="22"/>
        </w:rPr>
        <w:t>Táto Zmluva je podpísaná elektronicky v 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službách“), pričom dátumy podpisov zmluvných strán sú uvedené pri kvalifikovaných elektronických podpisoch/pečatiach zmluvných strán, ak nie je použitá kvalifikovaná elektronická časová pečiatka podľa zákona o dôveryhodných službách</w:t>
      </w:r>
      <w:r w:rsidR="00AD6278">
        <w:rPr>
          <w:rFonts w:ascii="Arial Narrow" w:hAnsi="Arial Narrow"/>
          <w:sz w:val="22"/>
          <w:szCs w:val="22"/>
        </w:rPr>
        <w:t>.</w:t>
      </w:r>
      <w:commentRangeStart w:id="1"/>
      <w:r w:rsidR="00AD6278">
        <w:rPr>
          <w:rFonts w:ascii="Arial Narrow" w:hAnsi="Arial Narrow"/>
          <w:sz w:val="22"/>
          <w:szCs w:val="22"/>
        </w:rPr>
        <w:t xml:space="preserve"> </w:t>
      </w:r>
      <w:commentRangeEnd w:id="1"/>
      <w:r w:rsidR="00AD6278">
        <w:rPr>
          <w:rStyle w:val="Odkaznakomentr"/>
          <w:szCs w:val="20"/>
        </w:rPr>
        <w:commentReference w:id="1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0F1A286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724DD6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C938A7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4C85E2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C938A7">
        <w:rPr>
          <w:rFonts w:ascii="Arial Narrow" w:hAnsi="Arial Narrow"/>
          <w:bCs/>
          <w:i w:val="0"/>
          <w:sz w:val="22"/>
          <w:szCs w:val="22"/>
        </w:rPr>
        <w:t>a</w:t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C938A7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5056F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4340AE8D" w14:textId="77777777" w:rsidR="00AD6278" w:rsidRDefault="00AD6278" w:rsidP="00AD627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23753B2E" w14:textId="77777777" w:rsidR="00AD6278" w:rsidRDefault="00AD6278" w:rsidP="00AD6278">
      <w:pPr>
        <w:pStyle w:val="Textkomentra"/>
      </w:pPr>
    </w:p>
    <w:p w14:paraId="7406DE4C" w14:textId="77777777" w:rsidR="00AD6278" w:rsidRDefault="00AD6278" w:rsidP="00AD6278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06D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06DE4C" w16cid:durableId="0105A7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2F25" w14:textId="77777777" w:rsidR="00301F31" w:rsidRDefault="00301F31">
      <w:r>
        <w:separator/>
      </w:r>
    </w:p>
  </w:endnote>
  <w:endnote w:type="continuationSeparator" w:id="0">
    <w:p w14:paraId="02AAEF5A" w14:textId="77777777" w:rsidR="00301F31" w:rsidRDefault="00301F31">
      <w:r>
        <w:continuationSeparator/>
      </w:r>
    </w:p>
  </w:endnote>
  <w:endnote w:type="continuationNotice" w:id="1">
    <w:p w14:paraId="704768C6" w14:textId="77777777" w:rsidR="00301F31" w:rsidRDefault="00301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3A22" w14:textId="77777777" w:rsidR="00301F31" w:rsidRDefault="00301F31">
      <w:r>
        <w:separator/>
      </w:r>
    </w:p>
  </w:footnote>
  <w:footnote w:type="continuationSeparator" w:id="0">
    <w:p w14:paraId="406B8DF4" w14:textId="77777777" w:rsidR="00301F31" w:rsidRDefault="00301F31">
      <w:r>
        <w:continuationSeparator/>
      </w:r>
    </w:p>
  </w:footnote>
  <w:footnote w:type="continuationNotice" w:id="1">
    <w:p w14:paraId="00E930E5" w14:textId="77777777" w:rsidR="00301F31" w:rsidRDefault="00301F31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3FC868F" w:rsidR="00415C52" w:rsidRDefault="009C3577" w:rsidP="000443F1">
    <w:pPr>
      <w:tabs>
        <w:tab w:val="center" w:pos="4536"/>
        <w:tab w:val="right" w:pos="9072"/>
      </w:tabs>
      <w:ind w:left="-567"/>
    </w:pPr>
    <w:r>
      <w:rPr>
        <w:noProof/>
      </w:rPr>
      <w:drawing>
        <wp:inline distT="0" distB="0" distL="0" distR="0" wp14:anchorId="79C2DFE8" wp14:editId="41CED0B2">
          <wp:extent cx="6268521" cy="705485"/>
          <wp:effectExtent l="0" t="0" r="0" b="0"/>
          <wp:docPr id="211297781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77810" name="Obrázok 21129778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356" cy="70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0A7F0D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2543536">
    <w:abstractNumId w:val="11"/>
  </w:num>
  <w:num w:numId="2" w16cid:durableId="1349915973">
    <w:abstractNumId w:val="2"/>
  </w:num>
  <w:num w:numId="3" w16cid:durableId="530993560">
    <w:abstractNumId w:val="15"/>
  </w:num>
  <w:num w:numId="4" w16cid:durableId="2120561731">
    <w:abstractNumId w:val="3"/>
  </w:num>
  <w:num w:numId="5" w16cid:durableId="1334186141">
    <w:abstractNumId w:val="14"/>
  </w:num>
  <w:num w:numId="6" w16cid:durableId="1388215509">
    <w:abstractNumId w:val="4"/>
  </w:num>
  <w:num w:numId="7" w16cid:durableId="251670539">
    <w:abstractNumId w:val="12"/>
  </w:num>
  <w:num w:numId="8" w16cid:durableId="800810462">
    <w:abstractNumId w:val="5"/>
  </w:num>
  <w:num w:numId="9" w16cid:durableId="1419669123">
    <w:abstractNumId w:val="18"/>
  </w:num>
  <w:num w:numId="10" w16cid:durableId="706612073">
    <w:abstractNumId w:val="1"/>
  </w:num>
  <w:num w:numId="11" w16cid:durableId="1200126858">
    <w:abstractNumId w:val="10"/>
  </w:num>
  <w:num w:numId="12" w16cid:durableId="804391256">
    <w:abstractNumId w:val="17"/>
  </w:num>
  <w:num w:numId="13" w16cid:durableId="7756871">
    <w:abstractNumId w:val="13"/>
  </w:num>
  <w:num w:numId="14" w16cid:durableId="377049893">
    <w:abstractNumId w:val="6"/>
  </w:num>
  <w:num w:numId="15" w16cid:durableId="56512688">
    <w:abstractNumId w:val="8"/>
  </w:num>
  <w:num w:numId="16" w16cid:durableId="1924145704">
    <w:abstractNumId w:val="0"/>
  </w:num>
  <w:num w:numId="17" w16cid:durableId="146409723">
    <w:abstractNumId w:val="9"/>
  </w:num>
  <w:num w:numId="18" w16cid:durableId="307708552">
    <w:abstractNumId w:val="7"/>
  </w:num>
  <w:num w:numId="19" w16cid:durableId="150104285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025340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3F1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0BF2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A7F0D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4E91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4BE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626B"/>
    <w:rsid w:val="002367D0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DFE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1F31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773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236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2F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41B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337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37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56F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39F3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198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4DD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01"/>
    <w:rsid w:val="007402E9"/>
    <w:rsid w:val="0074051A"/>
    <w:rsid w:val="007406F8"/>
    <w:rsid w:val="0074088D"/>
    <w:rsid w:val="00740BE1"/>
    <w:rsid w:val="007417D9"/>
    <w:rsid w:val="00741913"/>
    <w:rsid w:val="00741B36"/>
    <w:rsid w:val="00742928"/>
    <w:rsid w:val="00742AB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95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9AC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3CD5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016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69BF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8C8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3577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5FA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278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68B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8A7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2B63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291D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2DB2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5B9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2C27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4A92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6F7B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A1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43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4EC1FF"/>
    <w:rsid w:val="515022CC"/>
    <w:rsid w:val="517346DE"/>
    <w:rsid w:val="55996A62"/>
    <w:rsid w:val="572F3194"/>
    <w:rsid w:val="645305A5"/>
    <w:rsid w:val="68D81FAD"/>
    <w:rsid w:val="69C9F83A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07EC4-F705-4599-9061-4B6804624B1D}"/>
</file>

<file path=customXml/itemProps3.xml><?xml version="1.0" encoding="utf-8"?>
<ds:datastoreItem xmlns:ds="http://schemas.openxmlformats.org/officeDocument/2006/customXml" ds:itemID="{B8AAABAD-1471-4E82-9512-DF8301546432}"/>
</file>

<file path=customXml/itemProps4.xml><?xml version="1.0" encoding="utf-8"?>
<ds:datastoreItem xmlns:ds="http://schemas.openxmlformats.org/officeDocument/2006/customXml" ds:itemID="{E234D96A-7727-490E-890F-F58F85D1E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4181</Words>
  <Characters>23834</Characters>
  <Application>Microsoft Office Word</Application>
  <DocSecurity>0</DocSecurity>
  <Lines>198</Lines>
  <Paragraphs>55</Paragraphs>
  <ScaleCrop>false</ScaleCrop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2025-01-13T14:33:00Z</dcterms:created>
  <dcterms:modified xsi:type="dcterms:W3CDTF">2025-01-13T14:33:00Z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